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D36" w:rsidRPr="00E70653" w:rsidRDefault="00A82EB4" w:rsidP="00A76DB3">
      <w:pPr>
        <w:pStyle w:val="Ref"/>
      </w:pPr>
      <w:r w:rsidRPr="00E70653">
        <mc:AlternateContent>
          <mc:Choice Requires="wps">
            <w:drawing>
              <wp:anchor distT="0" distB="0" distL="114300" distR="114300" simplePos="0" relativeHeight="251659264" behindDoc="0" locked="0" layoutInCell="1" allowOverlap="1" wp14:anchorId="3A22F609" wp14:editId="6A459C32">
                <wp:simplePos x="0" y="0"/>
                <wp:positionH relativeFrom="column">
                  <wp:posOffset>2668570</wp:posOffset>
                </wp:positionH>
                <wp:positionV relativeFrom="paragraph">
                  <wp:posOffset>238638</wp:posOffset>
                </wp:positionV>
                <wp:extent cx="3436942" cy="567221"/>
                <wp:effectExtent l="0" t="0" r="1143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6942" cy="567221"/>
                        </a:xfrm>
                        <a:prstGeom prst="rect">
                          <a:avLst/>
                        </a:prstGeom>
                        <a:noFill/>
                        <a:ln>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rsidR="00A82EB4" w:rsidRPr="00A82EB4" w:rsidRDefault="003E55AA" w:rsidP="003E55AA">
                            <w:pPr>
                              <w:jc w:val="center"/>
                            </w:pPr>
                            <w:r>
                              <w:t>The following resource</w:t>
                            </w:r>
                            <w:r w:rsidR="00A82EB4" w:rsidRPr="00A82EB4">
                              <w:t xml:space="preserve"> </w:t>
                            </w:r>
                            <w:r>
                              <w:t>is</w:t>
                            </w:r>
                            <w:r w:rsidR="00A82EB4" w:rsidRPr="00A82EB4">
                              <w:t xml:space="preserve"> associated:</w:t>
                            </w:r>
                          </w:p>
                          <w:p w:rsidR="00A82EB4" w:rsidRDefault="003E55AA" w:rsidP="003E55AA">
                            <w:pPr>
                              <w:jc w:val="center"/>
                            </w:pPr>
                            <w:r w:rsidRPr="003E55AA">
                              <w:t xml:space="preserve">Checking </w:t>
                            </w:r>
                            <w:r w:rsidR="005F7EC1">
                              <w:t>N</w:t>
                            </w:r>
                            <w:r w:rsidRPr="003E55AA">
                              <w:t xml:space="preserve">ormality for </w:t>
                            </w:r>
                            <w:r w:rsidR="005F7EC1">
                              <w:t>P</w:t>
                            </w:r>
                            <w:r w:rsidRPr="003E55AA">
                              <w:t xml:space="preserve">arametric </w:t>
                            </w:r>
                            <w:r w:rsidR="005F7EC1">
                              <w:t>T</w:t>
                            </w:r>
                            <w:r w:rsidRPr="003E55AA">
                              <w:t>ests</w:t>
                            </w:r>
                            <w:r>
                              <w:t xml:space="preserve"> worksheet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22F609" id="_x0000_t202" coordsize="21600,21600" o:spt="202" path="m,l,21600r21600,l21600,xe">
                <v:stroke joinstyle="miter"/>
                <v:path gradientshapeok="t" o:connecttype="rect"/>
              </v:shapetype>
              <v:shape id="Text Box 2" o:spid="_x0000_s1026" type="#_x0000_t202" style="position:absolute;left:0;text-align:left;margin-left:210.1pt;margin-top:18.8pt;width:270.65pt;height:4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" filled="f" strokecolor="#d8d8d8 [2732]" strokeweight="2pt">
                <v:textbox>
                  <w:txbxContent>
                    <w:p w:rsidR="00A82EB4" w:rsidRPr="00A82EB4" w:rsidRDefault="003E55AA" w:rsidP="003E55AA">
                      <w:pPr>
                        <w:jc w:val="center"/>
                      </w:pPr>
                      <w:r>
                        <w:t>The following resource</w:t>
                      </w:r>
                      <w:r w:rsidR="00A82EB4" w:rsidRPr="00A82EB4">
                        <w:t xml:space="preserve"> </w:t>
                      </w:r>
                      <w:r>
                        <w:t>is</w:t>
                      </w:r>
                      <w:r w:rsidR="00A82EB4" w:rsidRPr="00A82EB4">
                        <w:t xml:space="preserve"> associated:</w:t>
                      </w:r>
                    </w:p>
                    <w:p w:rsidR="00A82EB4" w:rsidRDefault="003E55AA" w:rsidP="003E55AA">
                      <w:pPr>
                        <w:jc w:val="center"/>
                      </w:pPr>
                      <w:r w:rsidRPr="003E55AA">
                        <w:t xml:space="preserve">Checking </w:t>
                      </w:r>
                      <w:r w:rsidR="005F7EC1">
                        <w:t>N</w:t>
                      </w:r>
                      <w:r w:rsidRPr="003E55AA">
                        <w:t xml:space="preserve">ormality for </w:t>
                      </w:r>
                      <w:r w:rsidR="005F7EC1">
                        <w:t>P</w:t>
                      </w:r>
                      <w:r w:rsidRPr="003E55AA">
                        <w:t xml:space="preserve">arametric </w:t>
                      </w:r>
                      <w:r w:rsidR="005F7EC1">
                        <w:t>T</w:t>
                      </w:r>
                      <w:r w:rsidRPr="003E55AA">
                        <w:t>ests</w:t>
                      </w:r>
                      <w:r>
                        <w:t xml:space="preserve"> worksheet</w:t>
                      </w:r>
                    </w:p>
                  </w:txbxContent>
                </v:textbox>
              </v:shape>
            </w:pict>
          </mc:Fallback>
        </mc:AlternateContent>
      </w:r>
      <w:r w:rsidR="000448DB">
        <w:t>stcp-gilchristsamuels-</w:t>
      </w:r>
      <w:r w:rsidR="000448DB" w:rsidRPr="000448DB">
        <w:t>1</w:t>
      </w:r>
    </w:p>
    <w:p w:rsidR="00A82EB4" w:rsidRPr="001A5027" w:rsidRDefault="00A82EB4" w:rsidP="00A76DB3"/>
    <w:p w:rsidR="00A82EB4" w:rsidRDefault="00A82EB4" w:rsidP="00A76DB3"/>
    <w:p w:rsidR="00E70653" w:rsidRDefault="00E70653" w:rsidP="00A76DB3"/>
    <w:p w:rsidR="000448DB" w:rsidRPr="00C5714F" w:rsidRDefault="000448DB" w:rsidP="00C5714F">
      <w:pPr>
        <w:pStyle w:val="Title2"/>
      </w:pPr>
      <w:r w:rsidRPr="00C5714F">
        <w:t>Statistical Hypothesis Testing</w:t>
      </w:r>
    </w:p>
    <w:p w:rsidR="000448DB" w:rsidRPr="00D83EDE" w:rsidRDefault="000448DB" w:rsidP="000448DB">
      <w:pPr>
        <w:pStyle w:val="Heading20"/>
      </w:pPr>
      <w:r w:rsidRPr="00D83EDE">
        <w:t xml:space="preserve">Research question: </w:t>
      </w:r>
      <w:r w:rsidRPr="000448DB">
        <w:rPr>
          <w:b w:val="0"/>
        </w:rPr>
        <w:t>Exploring a comparison, association or relationship</w:t>
      </w:r>
    </w:p>
    <w:p w:rsidR="000448DB" w:rsidRPr="00D83EDE" w:rsidRDefault="000448DB" w:rsidP="000448DB">
      <w:pPr>
        <w:pStyle w:val="Heading20"/>
      </w:pPr>
      <w:r w:rsidRPr="00D83EDE">
        <w:t>Level of measurement of data:</w:t>
      </w:r>
      <w:r>
        <w:t xml:space="preserve"> </w:t>
      </w:r>
      <w:r w:rsidRPr="000448DB">
        <w:rPr>
          <w:b w:val="0"/>
        </w:rPr>
        <w:t>Categorical or scale (continuous)</w:t>
      </w:r>
    </w:p>
    <w:p w:rsidR="000448DB" w:rsidRPr="00D83EDE" w:rsidRDefault="000448DB" w:rsidP="000448DB">
      <w:pPr>
        <w:rPr>
          <w:b/>
        </w:rPr>
      </w:pPr>
      <w:r>
        <w:t>F</w:t>
      </w:r>
      <w:r w:rsidRPr="00D83EDE">
        <w:t xml:space="preserve">rom your research question </w:t>
      </w:r>
      <w:r>
        <w:t>y</w:t>
      </w:r>
      <w:r w:rsidRPr="00D83EDE">
        <w:t xml:space="preserve">ou </w:t>
      </w:r>
      <w:r>
        <w:t>should</w:t>
      </w:r>
      <w:r w:rsidRPr="00D83EDE">
        <w:t xml:space="preserve"> </w:t>
      </w:r>
      <w:r>
        <w:t>formulate</w:t>
      </w:r>
      <w:r w:rsidRPr="00D83EDE">
        <w:t xml:space="preserve"> one or more hypotheses </w:t>
      </w:r>
      <w:r>
        <w:t xml:space="preserve">each </w:t>
      </w:r>
      <w:r w:rsidRPr="00D83EDE">
        <w:t>leading to two possible outcomes:</w:t>
      </w:r>
    </w:p>
    <w:p w:rsidR="000448DB" w:rsidRPr="00D83EDE" w:rsidRDefault="000448DB" w:rsidP="000448DB">
      <w:pPr>
        <w:ind w:left="567"/>
      </w:pPr>
      <w:r w:rsidRPr="00D83EDE">
        <w:rPr>
          <w:b/>
        </w:rPr>
        <w:t>Null Hypothesis</w:t>
      </w:r>
      <w:r w:rsidRPr="00D83EDE">
        <w:t xml:space="preserve"> (NH or H</w:t>
      </w:r>
      <w:r w:rsidRPr="00D83EDE">
        <w:rPr>
          <w:vertAlign w:val="subscript"/>
        </w:rPr>
        <w:t>0</w:t>
      </w:r>
      <w:r w:rsidRPr="00D83EDE">
        <w:t>):</w:t>
      </w:r>
    </w:p>
    <w:p w:rsidR="000448DB" w:rsidRPr="00D83EDE" w:rsidRDefault="000448DB" w:rsidP="000448DB">
      <w:pPr>
        <w:ind w:left="567"/>
      </w:pPr>
      <w:r w:rsidRPr="00D83EDE">
        <w:t>Assumes no difference, association or relationship between the variables</w:t>
      </w:r>
    </w:p>
    <w:p w:rsidR="000448DB" w:rsidRPr="00D83EDE" w:rsidRDefault="000448DB" w:rsidP="000448DB">
      <w:pPr>
        <w:ind w:left="567"/>
      </w:pPr>
      <w:r w:rsidRPr="00D83EDE">
        <w:rPr>
          <w:b/>
        </w:rPr>
        <w:t>Alternative Hypothesis</w:t>
      </w:r>
      <w:r w:rsidRPr="00D83EDE">
        <w:t xml:space="preserve"> (AH or H</w:t>
      </w:r>
      <w:r w:rsidRPr="00D83EDE">
        <w:rPr>
          <w:vertAlign w:val="subscript"/>
        </w:rPr>
        <w:t>1</w:t>
      </w:r>
      <w:r>
        <w:t xml:space="preserve"> or H</w:t>
      </w:r>
      <w:r w:rsidRPr="00322B1B">
        <w:rPr>
          <w:vertAlign w:val="subscript"/>
        </w:rPr>
        <w:t>A</w:t>
      </w:r>
      <w:r w:rsidRPr="00D83EDE">
        <w:t>):</w:t>
      </w:r>
    </w:p>
    <w:p w:rsidR="000448DB" w:rsidRPr="00D83EDE" w:rsidRDefault="000448DB" w:rsidP="000448DB">
      <w:pPr>
        <w:ind w:left="567"/>
      </w:pPr>
      <w:r w:rsidRPr="00D83EDE">
        <w:t>Assumes a difference, association or relationship between the variables</w:t>
      </w:r>
    </w:p>
    <w:p w:rsidR="000448DB" w:rsidRPr="00D83EDE" w:rsidRDefault="000448DB" w:rsidP="000448DB">
      <w:r w:rsidRPr="00D83EDE">
        <w:t xml:space="preserve">The use of an appropriate statistical hypothesis test will allow you to decide </w:t>
      </w:r>
      <w:r>
        <w:t xml:space="preserve">between these two </w:t>
      </w:r>
      <w:r w:rsidRPr="00D83EDE">
        <w:t>outcome</w:t>
      </w:r>
      <w:r>
        <w:t xml:space="preserve">s </w:t>
      </w:r>
      <w:r w:rsidRPr="00D83EDE">
        <w:t xml:space="preserve">by examining the </w:t>
      </w:r>
      <w:r>
        <w:t>probability (</w:t>
      </w:r>
      <w:r w:rsidR="00AE095C">
        <w:t xml:space="preserve">or </w:t>
      </w:r>
      <w:r w:rsidRPr="00D83EDE">
        <w:t>p</w:t>
      </w:r>
      <w:r>
        <w:t>) value of the test statistic.</w:t>
      </w:r>
    </w:p>
    <w:p w:rsidR="000448DB" w:rsidRPr="00D83EDE" w:rsidRDefault="000448DB" w:rsidP="000448DB">
      <w:pPr>
        <w:pStyle w:val="Heading20"/>
      </w:pPr>
      <w:r w:rsidRPr="00D83EDE">
        <w:t>Probability or p-value</w:t>
      </w:r>
    </w:p>
    <w:p w:rsidR="000448DB" w:rsidRPr="00D83EDE" w:rsidRDefault="000448DB" w:rsidP="000448DB">
      <w:r w:rsidRPr="00D83EDE">
        <w:t xml:space="preserve">A decision between the two hypotheses is made by viewing the 'p-value' </w:t>
      </w:r>
      <w:r>
        <w:t xml:space="preserve">(often referred to as the </w:t>
      </w:r>
      <w:r w:rsidRPr="00D83EDE">
        <w:t xml:space="preserve">'Sig-value' </w:t>
      </w:r>
      <w:r>
        <w:t xml:space="preserve">by </w:t>
      </w:r>
      <w:r w:rsidRPr="00D83EDE">
        <w:t>SPSS</w:t>
      </w:r>
      <w:r>
        <w:t>)</w:t>
      </w:r>
      <w:r w:rsidRPr="00D83EDE">
        <w:t xml:space="preserve">, which is the probability (or chance) of </w:t>
      </w:r>
      <w:r>
        <w:t>the collected data or a more extreme event</w:t>
      </w:r>
      <w:r w:rsidRPr="00D83EDE">
        <w:t xml:space="preserve"> </w:t>
      </w:r>
      <w:r>
        <w:t xml:space="preserve">happening </w:t>
      </w:r>
      <w:r w:rsidRPr="00D83EDE">
        <w:t>under the assumption of the null hypothesis.</w:t>
      </w:r>
    </w:p>
    <w:p w:rsidR="000448DB" w:rsidRDefault="000448DB" w:rsidP="000448DB">
      <w:r>
        <w:t xml:space="preserve">If this probability is small, </w:t>
      </w:r>
      <w:r w:rsidRPr="00D83EDE">
        <w:t>H</w:t>
      </w:r>
      <w:r w:rsidRPr="00D83EDE">
        <w:rPr>
          <w:vertAlign w:val="subscript"/>
        </w:rPr>
        <w:t>0</w:t>
      </w:r>
      <w:r w:rsidRPr="00D83EDE">
        <w:t xml:space="preserve"> is rejected in favour of H</w:t>
      </w:r>
      <w:r w:rsidRPr="00D83EDE">
        <w:rPr>
          <w:vertAlign w:val="subscript"/>
        </w:rPr>
        <w:t>1</w:t>
      </w:r>
      <w:r w:rsidRPr="00D83EDE">
        <w:t xml:space="preserve">, </w:t>
      </w:r>
      <w:r>
        <w:t xml:space="preserve">which is </w:t>
      </w:r>
      <w:r w:rsidRPr="00D83EDE">
        <w:t xml:space="preserve">termed a 'statistically significant result'; otherwise </w:t>
      </w:r>
      <w:r>
        <w:t xml:space="preserve">we </w:t>
      </w:r>
      <w:r w:rsidRPr="00D83EDE">
        <w:t>'fail to reject H</w:t>
      </w:r>
      <w:r w:rsidRPr="00D83EDE">
        <w:rPr>
          <w:vertAlign w:val="subscript"/>
        </w:rPr>
        <w:t>0</w:t>
      </w:r>
      <w:r w:rsidRPr="00CD5102">
        <w:t xml:space="preserve">', which is </w:t>
      </w:r>
      <w:r w:rsidRPr="00D83EDE">
        <w:t>termed a 'non-statistically significant result'.</w:t>
      </w:r>
    </w:p>
    <w:p w:rsidR="000448DB" w:rsidRPr="00D83EDE" w:rsidRDefault="000448DB" w:rsidP="000448DB">
      <w:pPr>
        <w:pStyle w:val="Heading20"/>
      </w:pPr>
      <w:r w:rsidRPr="00D83EDE">
        <w:t>What is 'small'?</w:t>
      </w:r>
    </w:p>
    <w:p w:rsidR="000448DB" w:rsidRPr="00D83EDE" w:rsidRDefault="000448DB" w:rsidP="000448DB">
      <w:pPr>
        <w:spacing w:line="360" w:lineRule="auto"/>
      </w:pPr>
      <w:r w:rsidRPr="00D83EDE">
        <w:t>Conven</w:t>
      </w:r>
      <w:r>
        <w:t>tionally, p = 0.05 is used as the cut of value,</w:t>
      </w:r>
      <w:r w:rsidRPr="00D83EDE">
        <w:t xml:space="preserve"> hence:</w:t>
      </w:r>
    </w:p>
    <w:p w:rsidR="000448DB" w:rsidRPr="00D83EDE" w:rsidRDefault="000448DB" w:rsidP="000448DB">
      <w:pPr>
        <w:pStyle w:val="ListParagraph"/>
        <w:numPr>
          <w:ilvl w:val="0"/>
          <w:numId w:val="2"/>
        </w:numPr>
        <w:suppressAutoHyphens/>
        <w:spacing w:line="240" w:lineRule="auto"/>
        <w:ind w:left="284" w:hanging="284"/>
        <w:contextualSpacing w:val="0"/>
      </w:pPr>
      <w:r w:rsidRPr="00D83EDE">
        <w:t>If p ≤ 0.05 (</w:t>
      </w:r>
      <w:r>
        <w:t xml:space="preserve">i.e. </w:t>
      </w:r>
      <w:r w:rsidRPr="00D83EDE">
        <w:t xml:space="preserve">p is less </w:t>
      </w:r>
      <w:r>
        <w:t>than or equal to 0.05</w:t>
      </w:r>
      <w:r w:rsidRPr="00D83EDE">
        <w:t>), H</w:t>
      </w:r>
      <w:r w:rsidRPr="00D83EDE">
        <w:rPr>
          <w:vertAlign w:val="subscript"/>
        </w:rPr>
        <w:t>0</w:t>
      </w:r>
      <w:r w:rsidRPr="00D83EDE">
        <w:t xml:space="preserve"> is rejected in favour of H</w:t>
      </w:r>
      <w:r w:rsidRPr="00D83EDE">
        <w:rPr>
          <w:vertAlign w:val="subscript"/>
        </w:rPr>
        <w:t>1</w:t>
      </w:r>
    </w:p>
    <w:p w:rsidR="000448DB" w:rsidRDefault="000448DB" w:rsidP="00AE095C">
      <w:pPr>
        <w:pStyle w:val="ListParagraph"/>
        <w:numPr>
          <w:ilvl w:val="0"/>
          <w:numId w:val="2"/>
        </w:numPr>
        <w:suppressAutoHyphens/>
        <w:spacing w:line="240" w:lineRule="auto"/>
        <w:ind w:left="284" w:hanging="284"/>
        <w:contextualSpacing w:val="0"/>
      </w:pPr>
      <w:r w:rsidRPr="00D83EDE">
        <w:t xml:space="preserve">If </w:t>
      </w:r>
      <w:r>
        <w:t>p &gt; 0.05 (i.e. p is greater than 0.05</w:t>
      </w:r>
      <w:r w:rsidRPr="00D83EDE">
        <w:t>), H</w:t>
      </w:r>
      <w:r w:rsidRPr="00D83EDE">
        <w:rPr>
          <w:vertAlign w:val="subscript"/>
        </w:rPr>
        <w:t>0</w:t>
      </w:r>
      <w:r>
        <w:t xml:space="preserve"> is not rejected</w:t>
      </w:r>
    </w:p>
    <w:p w:rsidR="000448DB" w:rsidRPr="00D83EDE" w:rsidRDefault="000448DB" w:rsidP="00AE095C">
      <w:pPr>
        <w:pStyle w:val="ListParagraph"/>
        <w:numPr>
          <w:ilvl w:val="0"/>
          <w:numId w:val="0"/>
        </w:numPr>
        <w:ind w:left="284"/>
      </w:pPr>
      <w:r w:rsidRPr="00D83EDE">
        <w:t>[</w:t>
      </w:r>
      <w:r w:rsidRPr="00D83EDE">
        <w:rPr>
          <w:b/>
        </w:rPr>
        <w:t>Note</w:t>
      </w:r>
      <w:r w:rsidRPr="00D83EDE">
        <w:t>: This is not always quite the same as accepting H</w:t>
      </w:r>
      <w:r w:rsidRPr="00D83EDE">
        <w:rPr>
          <w:vertAlign w:val="subscript"/>
        </w:rPr>
        <w:t>0</w:t>
      </w:r>
      <w:r w:rsidRPr="00D83EDE">
        <w:t xml:space="preserve">. It is more like </w:t>
      </w:r>
      <w:r w:rsidRPr="005205B8">
        <w:rPr>
          <w:i/>
        </w:rPr>
        <w:t>acquitting a defendant when there is insufficient evidence to secure a conviction</w:t>
      </w:r>
      <w:r w:rsidRPr="00D83EDE">
        <w:t>.]</w:t>
      </w:r>
    </w:p>
    <w:p w:rsidR="000448DB" w:rsidRPr="00D83EDE" w:rsidRDefault="000448DB" w:rsidP="000448DB">
      <w:pPr>
        <w:pStyle w:val="WW-Default"/>
        <w:spacing w:after="240"/>
      </w:pPr>
      <w:r w:rsidRPr="00D83EDE">
        <w:lastRenderedPageBreak/>
        <w:t>Alternatively, the p-valu</w:t>
      </w:r>
      <w:bookmarkStart w:id="0" w:name="_GoBack"/>
      <w:bookmarkEnd w:id="0"/>
      <w:r w:rsidRPr="00D83EDE">
        <w:t>e can be interpreted in more detail using the table below:</w:t>
      </w:r>
    </w:p>
    <w:tbl>
      <w:tblPr>
        <w:tblW w:w="8783" w:type="dxa"/>
        <w:tblLayout w:type="fixed"/>
        <w:tblLook w:val="0000" w:firstRow="0" w:lastRow="0" w:firstColumn="0" w:lastColumn="0" w:noHBand="0" w:noVBand="0"/>
      </w:tblPr>
      <w:tblGrid>
        <w:gridCol w:w="2376"/>
        <w:gridCol w:w="1928"/>
        <w:gridCol w:w="1531"/>
        <w:gridCol w:w="2948"/>
      </w:tblGrid>
      <w:tr w:rsidR="000448DB" w:rsidRPr="00D83EDE" w:rsidTr="001971FD">
        <w:trPr>
          <w:trHeight w:val="213"/>
        </w:trPr>
        <w:tc>
          <w:tcPr>
            <w:tcW w:w="2376" w:type="dxa"/>
            <w:tcBorders>
              <w:bottom w:val="single" w:sz="4" w:space="0" w:color="000000"/>
            </w:tcBorders>
            <w:shd w:val="clear" w:color="auto" w:fill="auto"/>
            <w:vAlign w:val="center"/>
          </w:tcPr>
          <w:p w:rsidR="000448DB" w:rsidRPr="00D83EDE" w:rsidRDefault="000448DB" w:rsidP="005247C2">
            <w:pPr>
              <w:pStyle w:val="WW-Default"/>
              <w:jc w:val="center"/>
            </w:pPr>
            <w:r w:rsidRPr="00D83EDE">
              <w:rPr>
                <w:b/>
                <w:bCs/>
              </w:rPr>
              <w:t>p-value of test statistic</w:t>
            </w:r>
          </w:p>
        </w:tc>
        <w:tc>
          <w:tcPr>
            <w:tcW w:w="1928" w:type="dxa"/>
            <w:tcBorders>
              <w:bottom w:val="single" w:sz="4" w:space="0" w:color="000000"/>
            </w:tcBorders>
            <w:shd w:val="clear" w:color="auto" w:fill="auto"/>
            <w:vAlign w:val="center"/>
          </w:tcPr>
          <w:p w:rsidR="000448DB" w:rsidRPr="00D83EDE" w:rsidRDefault="000448DB" w:rsidP="005247C2">
            <w:pPr>
              <w:pStyle w:val="WW-Default"/>
              <w:jc w:val="center"/>
              <w:rPr>
                <w:b/>
                <w:bCs/>
              </w:rPr>
            </w:pPr>
            <w:r w:rsidRPr="00D83EDE">
              <w:rPr>
                <w:b/>
                <w:bCs/>
              </w:rPr>
              <w:t>Statistically significant?</w:t>
            </w:r>
          </w:p>
        </w:tc>
        <w:tc>
          <w:tcPr>
            <w:tcW w:w="1531" w:type="dxa"/>
            <w:tcBorders>
              <w:bottom w:val="single" w:sz="4" w:space="0" w:color="000000"/>
            </w:tcBorders>
            <w:shd w:val="clear" w:color="auto" w:fill="auto"/>
            <w:vAlign w:val="center"/>
          </w:tcPr>
          <w:p w:rsidR="000448DB" w:rsidRPr="00D83EDE" w:rsidRDefault="000448DB" w:rsidP="005247C2">
            <w:pPr>
              <w:pStyle w:val="WW-Default"/>
              <w:jc w:val="center"/>
              <w:rPr>
                <w:b/>
                <w:bCs/>
              </w:rPr>
            </w:pPr>
            <w:r w:rsidRPr="00D83EDE">
              <w:rPr>
                <w:b/>
                <w:bCs/>
              </w:rPr>
              <w:t>Formal action</w:t>
            </w:r>
          </w:p>
        </w:tc>
        <w:tc>
          <w:tcPr>
            <w:tcW w:w="2948" w:type="dxa"/>
            <w:tcBorders>
              <w:bottom w:val="single" w:sz="4" w:space="0" w:color="000000"/>
            </w:tcBorders>
            <w:shd w:val="clear" w:color="auto" w:fill="auto"/>
            <w:vAlign w:val="center"/>
          </w:tcPr>
          <w:p w:rsidR="000448DB" w:rsidRPr="00D83EDE" w:rsidRDefault="000448DB" w:rsidP="005247C2">
            <w:pPr>
              <w:pStyle w:val="WW-Default"/>
              <w:jc w:val="center"/>
            </w:pPr>
            <w:r w:rsidRPr="00D83EDE">
              <w:rPr>
                <w:b/>
                <w:bCs/>
              </w:rPr>
              <w:t>Informal interpretation</w:t>
            </w:r>
          </w:p>
        </w:tc>
      </w:tr>
      <w:tr w:rsidR="000448DB" w:rsidRPr="00CD5102" w:rsidTr="001971FD">
        <w:trPr>
          <w:trHeight w:val="230"/>
        </w:trPr>
        <w:tc>
          <w:tcPr>
            <w:tcW w:w="2376" w:type="dxa"/>
            <w:tcBorders>
              <w:top w:val="single" w:sz="4" w:space="0" w:color="000000"/>
            </w:tcBorders>
            <w:shd w:val="clear" w:color="auto" w:fill="auto"/>
            <w:vAlign w:val="center"/>
          </w:tcPr>
          <w:p w:rsidR="000448DB" w:rsidRPr="00CD5102" w:rsidRDefault="000448DB" w:rsidP="005247C2">
            <w:pPr>
              <w:pStyle w:val="WW-Default"/>
              <w:spacing w:before="60" w:after="60"/>
              <w:rPr>
                <w:sz w:val="22"/>
              </w:rPr>
            </w:pPr>
            <w:r w:rsidRPr="00CD5102">
              <w:rPr>
                <w:sz w:val="22"/>
              </w:rPr>
              <w:t xml:space="preserve">Greater than 0.1 </w:t>
            </w:r>
          </w:p>
        </w:tc>
        <w:tc>
          <w:tcPr>
            <w:tcW w:w="1928" w:type="dxa"/>
            <w:tcBorders>
              <w:top w:val="single" w:sz="4" w:space="0" w:color="000000"/>
            </w:tcBorders>
            <w:shd w:val="clear" w:color="auto" w:fill="auto"/>
            <w:vAlign w:val="center"/>
          </w:tcPr>
          <w:p w:rsidR="000448DB" w:rsidRPr="00CD5102" w:rsidRDefault="001971FD" w:rsidP="005247C2">
            <w:pPr>
              <w:pStyle w:val="WW-Default"/>
              <w:spacing w:before="60" w:after="60"/>
              <w:rPr>
                <w:sz w:val="22"/>
              </w:rPr>
            </w:pPr>
            <w:r>
              <w:rPr>
                <w:sz w:val="22"/>
              </w:rPr>
              <w:t>No</w:t>
            </w:r>
          </w:p>
        </w:tc>
        <w:tc>
          <w:tcPr>
            <w:tcW w:w="1531" w:type="dxa"/>
            <w:tcBorders>
              <w:top w:val="single" w:sz="4" w:space="0" w:color="000000"/>
            </w:tcBorders>
            <w:shd w:val="clear" w:color="auto" w:fill="auto"/>
            <w:vAlign w:val="center"/>
          </w:tcPr>
          <w:p w:rsidR="000448DB" w:rsidRPr="00CD5102" w:rsidRDefault="001971FD" w:rsidP="005247C2">
            <w:pPr>
              <w:pStyle w:val="WW-Default"/>
              <w:spacing w:before="60" w:after="60"/>
              <w:rPr>
                <w:b/>
                <w:bCs/>
                <w:sz w:val="22"/>
              </w:rPr>
            </w:pPr>
            <w:r>
              <w:rPr>
                <w:sz w:val="22"/>
              </w:rPr>
              <w:t>Retain</w:t>
            </w:r>
            <w:r w:rsidR="000448DB" w:rsidRPr="00CD5102">
              <w:rPr>
                <w:sz w:val="22"/>
              </w:rPr>
              <w:t xml:space="preserve"> H</w:t>
            </w:r>
            <w:r w:rsidR="000448DB" w:rsidRPr="00CD5102">
              <w:rPr>
                <w:sz w:val="22"/>
                <w:vertAlign w:val="subscript"/>
              </w:rPr>
              <w:t>0</w:t>
            </w:r>
          </w:p>
        </w:tc>
        <w:tc>
          <w:tcPr>
            <w:tcW w:w="2948" w:type="dxa"/>
            <w:tcBorders>
              <w:top w:val="single" w:sz="4" w:space="0" w:color="000000"/>
            </w:tcBorders>
            <w:shd w:val="clear" w:color="auto" w:fill="auto"/>
            <w:vAlign w:val="center"/>
          </w:tcPr>
          <w:p w:rsidR="000448DB" w:rsidRPr="00CD5102" w:rsidRDefault="000448DB" w:rsidP="005247C2">
            <w:pPr>
              <w:pStyle w:val="WW-Default"/>
              <w:spacing w:before="60" w:after="60"/>
              <w:rPr>
                <w:sz w:val="22"/>
              </w:rPr>
            </w:pPr>
            <w:r w:rsidRPr="00CD5102">
              <w:rPr>
                <w:b/>
                <w:bCs/>
                <w:sz w:val="22"/>
              </w:rPr>
              <w:t>No evidence</w:t>
            </w:r>
            <w:r w:rsidRPr="00CD5102">
              <w:rPr>
                <w:sz w:val="22"/>
              </w:rPr>
              <w:t xml:space="preserve"> to reject H</w:t>
            </w:r>
            <w:r w:rsidRPr="00CD5102">
              <w:rPr>
                <w:sz w:val="22"/>
                <w:vertAlign w:val="subscript"/>
              </w:rPr>
              <w:t>0</w:t>
            </w:r>
            <w:r w:rsidRPr="00CD5102">
              <w:rPr>
                <w:sz w:val="22"/>
              </w:rPr>
              <w:t xml:space="preserve"> </w:t>
            </w:r>
          </w:p>
        </w:tc>
      </w:tr>
      <w:tr w:rsidR="000448DB" w:rsidRPr="00CD5102" w:rsidTr="001971FD">
        <w:trPr>
          <w:trHeight w:val="230"/>
        </w:trPr>
        <w:tc>
          <w:tcPr>
            <w:tcW w:w="2376" w:type="dxa"/>
            <w:shd w:val="clear" w:color="auto" w:fill="auto"/>
            <w:vAlign w:val="center"/>
          </w:tcPr>
          <w:p w:rsidR="000448DB" w:rsidRPr="00CD5102" w:rsidRDefault="001971FD" w:rsidP="005247C2">
            <w:pPr>
              <w:pStyle w:val="WW-Default"/>
              <w:spacing w:before="60" w:after="60"/>
              <w:rPr>
                <w:sz w:val="22"/>
              </w:rPr>
            </w:pPr>
            <w:r>
              <w:rPr>
                <w:sz w:val="22"/>
              </w:rPr>
              <w:t>Between 0.1 and 0.05</w:t>
            </w:r>
          </w:p>
        </w:tc>
        <w:tc>
          <w:tcPr>
            <w:tcW w:w="1928" w:type="dxa"/>
            <w:shd w:val="clear" w:color="auto" w:fill="auto"/>
            <w:vAlign w:val="center"/>
          </w:tcPr>
          <w:p w:rsidR="000448DB" w:rsidRPr="00CD5102" w:rsidRDefault="001971FD" w:rsidP="005247C2">
            <w:pPr>
              <w:pStyle w:val="WW-Default"/>
              <w:spacing w:before="60" w:after="60"/>
              <w:rPr>
                <w:sz w:val="22"/>
              </w:rPr>
            </w:pPr>
            <w:r>
              <w:rPr>
                <w:sz w:val="22"/>
              </w:rPr>
              <w:t>No</w:t>
            </w:r>
          </w:p>
        </w:tc>
        <w:tc>
          <w:tcPr>
            <w:tcW w:w="1531" w:type="dxa"/>
            <w:shd w:val="clear" w:color="auto" w:fill="auto"/>
            <w:vAlign w:val="center"/>
          </w:tcPr>
          <w:p w:rsidR="000448DB" w:rsidRPr="00CD5102" w:rsidRDefault="001971FD" w:rsidP="005247C2">
            <w:pPr>
              <w:pStyle w:val="WW-Default"/>
              <w:spacing w:before="60" w:after="60"/>
              <w:rPr>
                <w:b/>
                <w:bCs/>
                <w:sz w:val="22"/>
              </w:rPr>
            </w:pPr>
            <w:r>
              <w:rPr>
                <w:sz w:val="22"/>
              </w:rPr>
              <w:t>Retain</w:t>
            </w:r>
            <w:r w:rsidR="000448DB" w:rsidRPr="00CD5102">
              <w:rPr>
                <w:sz w:val="22"/>
              </w:rPr>
              <w:t xml:space="preserve"> H</w:t>
            </w:r>
            <w:r w:rsidR="000448DB" w:rsidRPr="00CD5102">
              <w:rPr>
                <w:sz w:val="22"/>
                <w:vertAlign w:val="subscript"/>
              </w:rPr>
              <w:t>0</w:t>
            </w:r>
          </w:p>
        </w:tc>
        <w:tc>
          <w:tcPr>
            <w:tcW w:w="2948" w:type="dxa"/>
            <w:shd w:val="clear" w:color="auto" w:fill="auto"/>
            <w:vAlign w:val="center"/>
          </w:tcPr>
          <w:p w:rsidR="000448DB" w:rsidRPr="00CD5102" w:rsidRDefault="000448DB" w:rsidP="005247C2">
            <w:pPr>
              <w:pStyle w:val="WW-Default"/>
              <w:spacing w:before="60" w:after="60"/>
              <w:rPr>
                <w:sz w:val="22"/>
              </w:rPr>
            </w:pPr>
            <w:r w:rsidRPr="00CD5102">
              <w:rPr>
                <w:b/>
                <w:bCs/>
                <w:sz w:val="22"/>
              </w:rPr>
              <w:t xml:space="preserve">Weak evidence </w:t>
            </w:r>
            <w:r w:rsidRPr="00CD5102">
              <w:rPr>
                <w:sz w:val="22"/>
              </w:rPr>
              <w:t>to reject H</w:t>
            </w:r>
            <w:r w:rsidRPr="00CD5102">
              <w:rPr>
                <w:sz w:val="22"/>
                <w:vertAlign w:val="subscript"/>
              </w:rPr>
              <w:t>0</w:t>
            </w:r>
          </w:p>
        </w:tc>
      </w:tr>
      <w:tr w:rsidR="000448DB" w:rsidRPr="00CD5102" w:rsidTr="001971FD">
        <w:trPr>
          <w:trHeight w:val="230"/>
        </w:trPr>
        <w:tc>
          <w:tcPr>
            <w:tcW w:w="2376" w:type="dxa"/>
            <w:shd w:val="clear" w:color="auto" w:fill="auto"/>
            <w:vAlign w:val="center"/>
          </w:tcPr>
          <w:p w:rsidR="000448DB" w:rsidRPr="00CD5102" w:rsidRDefault="001971FD" w:rsidP="005247C2">
            <w:pPr>
              <w:pStyle w:val="WW-Default"/>
              <w:spacing w:before="60" w:after="60"/>
              <w:rPr>
                <w:sz w:val="22"/>
              </w:rPr>
            </w:pPr>
            <w:r>
              <w:rPr>
                <w:sz w:val="22"/>
              </w:rPr>
              <w:t>Between 0.05 and 0.01</w:t>
            </w:r>
          </w:p>
        </w:tc>
        <w:tc>
          <w:tcPr>
            <w:tcW w:w="1928" w:type="dxa"/>
            <w:shd w:val="clear" w:color="auto" w:fill="auto"/>
            <w:vAlign w:val="center"/>
          </w:tcPr>
          <w:p w:rsidR="000448DB" w:rsidRPr="00CD5102" w:rsidRDefault="001971FD" w:rsidP="001971FD">
            <w:pPr>
              <w:pStyle w:val="WW-Default"/>
              <w:spacing w:before="60" w:after="60"/>
              <w:rPr>
                <w:sz w:val="22"/>
              </w:rPr>
            </w:pPr>
            <w:r>
              <w:rPr>
                <w:sz w:val="22"/>
              </w:rPr>
              <w:t>Yes,</w:t>
            </w:r>
            <w:r w:rsidR="000448DB" w:rsidRPr="00CD5102">
              <w:rPr>
                <w:sz w:val="22"/>
              </w:rPr>
              <w:t xml:space="preserve"> at </w:t>
            </w:r>
            <w:r>
              <w:rPr>
                <w:sz w:val="22"/>
              </w:rPr>
              <w:t>the 0.05 level</w:t>
            </w:r>
            <w:r w:rsidR="000448DB" w:rsidRPr="00CD5102">
              <w:rPr>
                <w:sz w:val="22"/>
              </w:rPr>
              <w:t xml:space="preserve"> </w:t>
            </w:r>
          </w:p>
        </w:tc>
        <w:tc>
          <w:tcPr>
            <w:tcW w:w="1531" w:type="dxa"/>
            <w:shd w:val="clear" w:color="auto" w:fill="auto"/>
            <w:vAlign w:val="center"/>
          </w:tcPr>
          <w:p w:rsidR="000448DB" w:rsidRPr="00CD5102" w:rsidRDefault="000448DB" w:rsidP="001971FD">
            <w:pPr>
              <w:pStyle w:val="WW-Default"/>
              <w:spacing w:before="60" w:after="60"/>
              <w:rPr>
                <w:b/>
                <w:bCs/>
                <w:sz w:val="22"/>
              </w:rPr>
            </w:pPr>
            <w:r w:rsidRPr="00CD5102">
              <w:rPr>
                <w:sz w:val="22"/>
              </w:rPr>
              <w:t>Reject H</w:t>
            </w:r>
            <w:r w:rsidRPr="00CD5102">
              <w:rPr>
                <w:sz w:val="22"/>
                <w:vertAlign w:val="subscript"/>
              </w:rPr>
              <w:t>0</w:t>
            </w:r>
          </w:p>
        </w:tc>
        <w:tc>
          <w:tcPr>
            <w:tcW w:w="2948" w:type="dxa"/>
            <w:shd w:val="clear" w:color="auto" w:fill="auto"/>
            <w:vAlign w:val="center"/>
          </w:tcPr>
          <w:p w:rsidR="000448DB" w:rsidRPr="00CD5102" w:rsidRDefault="000448DB" w:rsidP="005247C2">
            <w:pPr>
              <w:pStyle w:val="WW-Default"/>
              <w:spacing w:before="60" w:after="60"/>
              <w:rPr>
                <w:sz w:val="22"/>
              </w:rPr>
            </w:pPr>
            <w:r w:rsidRPr="00CD5102">
              <w:rPr>
                <w:b/>
                <w:bCs/>
                <w:sz w:val="22"/>
              </w:rPr>
              <w:t xml:space="preserve">Evidence </w:t>
            </w:r>
            <w:r w:rsidRPr="00CD5102">
              <w:rPr>
                <w:sz w:val="22"/>
              </w:rPr>
              <w:t>to reject H</w:t>
            </w:r>
            <w:r w:rsidRPr="00CD5102">
              <w:rPr>
                <w:sz w:val="22"/>
                <w:vertAlign w:val="subscript"/>
              </w:rPr>
              <w:t>0</w:t>
            </w:r>
            <w:r w:rsidRPr="00CD5102">
              <w:rPr>
                <w:sz w:val="22"/>
              </w:rPr>
              <w:t xml:space="preserve"> </w:t>
            </w:r>
          </w:p>
        </w:tc>
      </w:tr>
      <w:tr w:rsidR="000448DB" w:rsidRPr="00CD5102" w:rsidTr="001971FD">
        <w:trPr>
          <w:trHeight w:val="230"/>
        </w:trPr>
        <w:tc>
          <w:tcPr>
            <w:tcW w:w="2376" w:type="dxa"/>
            <w:shd w:val="clear" w:color="auto" w:fill="auto"/>
            <w:vAlign w:val="center"/>
          </w:tcPr>
          <w:p w:rsidR="000448DB" w:rsidRPr="00CD5102" w:rsidRDefault="001971FD" w:rsidP="005247C2">
            <w:pPr>
              <w:pStyle w:val="WW-Default"/>
              <w:spacing w:before="60" w:after="60"/>
              <w:rPr>
                <w:sz w:val="22"/>
              </w:rPr>
            </w:pPr>
            <w:r>
              <w:rPr>
                <w:sz w:val="22"/>
              </w:rPr>
              <w:t>Between 0.01 and 0.001</w:t>
            </w:r>
          </w:p>
        </w:tc>
        <w:tc>
          <w:tcPr>
            <w:tcW w:w="1928" w:type="dxa"/>
            <w:shd w:val="clear" w:color="auto" w:fill="auto"/>
            <w:vAlign w:val="center"/>
          </w:tcPr>
          <w:p w:rsidR="000448DB" w:rsidRPr="00CD5102" w:rsidRDefault="001971FD" w:rsidP="001971FD">
            <w:pPr>
              <w:pStyle w:val="WW-Default"/>
              <w:spacing w:before="60" w:after="60"/>
              <w:rPr>
                <w:sz w:val="22"/>
              </w:rPr>
            </w:pPr>
            <w:r>
              <w:rPr>
                <w:sz w:val="22"/>
              </w:rPr>
              <w:t xml:space="preserve">Yes, </w:t>
            </w:r>
            <w:r w:rsidR="000448DB" w:rsidRPr="00CD5102">
              <w:rPr>
                <w:sz w:val="22"/>
              </w:rPr>
              <w:t xml:space="preserve">at </w:t>
            </w:r>
            <w:r>
              <w:rPr>
                <w:sz w:val="22"/>
              </w:rPr>
              <w:t>the 0.01 level</w:t>
            </w:r>
          </w:p>
        </w:tc>
        <w:tc>
          <w:tcPr>
            <w:tcW w:w="1531" w:type="dxa"/>
            <w:shd w:val="clear" w:color="auto" w:fill="auto"/>
            <w:vAlign w:val="center"/>
          </w:tcPr>
          <w:p w:rsidR="000448DB" w:rsidRPr="00CD5102" w:rsidRDefault="000448DB" w:rsidP="001971FD">
            <w:pPr>
              <w:pStyle w:val="WW-Default"/>
              <w:spacing w:before="60" w:after="60"/>
              <w:rPr>
                <w:b/>
                <w:bCs/>
                <w:sz w:val="22"/>
              </w:rPr>
            </w:pPr>
            <w:r w:rsidRPr="00CD5102">
              <w:rPr>
                <w:sz w:val="22"/>
              </w:rPr>
              <w:t>Reject H</w:t>
            </w:r>
            <w:r w:rsidRPr="00CD5102">
              <w:rPr>
                <w:sz w:val="22"/>
                <w:vertAlign w:val="subscript"/>
              </w:rPr>
              <w:t>0</w:t>
            </w:r>
          </w:p>
        </w:tc>
        <w:tc>
          <w:tcPr>
            <w:tcW w:w="2948" w:type="dxa"/>
            <w:shd w:val="clear" w:color="auto" w:fill="auto"/>
            <w:vAlign w:val="center"/>
          </w:tcPr>
          <w:p w:rsidR="000448DB" w:rsidRPr="00CD5102" w:rsidRDefault="000448DB" w:rsidP="005247C2">
            <w:pPr>
              <w:pStyle w:val="WW-Default"/>
              <w:spacing w:before="60" w:after="60"/>
              <w:rPr>
                <w:sz w:val="22"/>
              </w:rPr>
            </w:pPr>
            <w:r w:rsidRPr="00CD5102">
              <w:rPr>
                <w:b/>
                <w:bCs/>
                <w:sz w:val="22"/>
              </w:rPr>
              <w:t xml:space="preserve">Strong evidence </w:t>
            </w:r>
            <w:r w:rsidRPr="00CD5102">
              <w:rPr>
                <w:sz w:val="22"/>
              </w:rPr>
              <w:t>to reject H</w:t>
            </w:r>
            <w:r w:rsidRPr="00CD5102">
              <w:rPr>
                <w:sz w:val="22"/>
                <w:vertAlign w:val="subscript"/>
              </w:rPr>
              <w:t>0</w:t>
            </w:r>
            <w:r w:rsidRPr="00CD5102">
              <w:rPr>
                <w:sz w:val="22"/>
              </w:rPr>
              <w:t xml:space="preserve"> </w:t>
            </w:r>
          </w:p>
        </w:tc>
      </w:tr>
      <w:tr w:rsidR="000448DB" w:rsidRPr="00CD5102" w:rsidTr="001971FD">
        <w:trPr>
          <w:trHeight w:val="230"/>
        </w:trPr>
        <w:tc>
          <w:tcPr>
            <w:tcW w:w="2376" w:type="dxa"/>
            <w:tcBorders>
              <w:bottom w:val="single" w:sz="4" w:space="0" w:color="000000"/>
            </w:tcBorders>
            <w:shd w:val="clear" w:color="auto" w:fill="auto"/>
            <w:vAlign w:val="center"/>
          </w:tcPr>
          <w:p w:rsidR="000448DB" w:rsidRPr="00CD5102" w:rsidRDefault="001971FD" w:rsidP="005247C2">
            <w:pPr>
              <w:pStyle w:val="WW-Default"/>
              <w:spacing w:before="60" w:after="60"/>
              <w:rPr>
                <w:sz w:val="22"/>
              </w:rPr>
            </w:pPr>
            <w:r>
              <w:rPr>
                <w:sz w:val="22"/>
              </w:rPr>
              <w:t>Less than 0.001</w:t>
            </w:r>
          </w:p>
        </w:tc>
        <w:tc>
          <w:tcPr>
            <w:tcW w:w="1928" w:type="dxa"/>
            <w:tcBorders>
              <w:bottom w:val="single" w:sz="4" w:space="0" w:color="000000"/>
            </w:tcBorders>
            <w:shd w:val="clear" w:color="auto" w:fill="auto"/>
            <w:vAlign w:val="center"/>
          </w:tcPr>
          <w:p w:rsidR="000448DB" w:rsidRPr="00CD5102" w:rsidRDefault="001971FD" w:rsidP="001971FD">
            <w:pPr>
              <w:pStyle w:val="WW-Default"/>
              <w:spacing w:before="60" w:after="60"/>
              <w:rPr>
                <w:sz w:val="22"/>
              </w:rPr>
            </w:pPr>
            <w:r>
              <w:rPr>
                <w:sz w:val="22"/>
              </w:rPr>
              <w:t>Yes, at the 0.001 level</w:t>
            </w:r>
          </w:p>
        </w:tc>
        <w:tc>
          <w:tcPr>
            <w:tcW w:w="1531" w:type="dxa"/>
            <w:tcBorders>
              <w:bottom w:val="single" w:sz="4" w:space="0" w:color="000000"/>
            </w:tcBorders>
            <w:shd w:val="clear" w:color="auto" w:fill="auto"/>
            <w:vAlign w:val="center"/>
          </w:tcPr>
          <w:p w:rsidR="000448DB" w:rsidRPr="00CD5102" w:rsidRDefault="000448DB" w:rsidP="001971FD">
            <w:pPr>
              <w:pStyle w:val="WW-Default"/>
              <w:spacing w:before="60" w:after="60"/>
              <w:rPr>
                <w:b/>
                <w:bCs/>
                <w:sz w:val="22"/>
              </w:rPr>
            </w:pPr>
            <w:r w:rsidRPr="00CD5102">
              <w:rPr>
                <w:sz w:val="22"/>
              </w:rPr>
              <w:t>Reject H</w:t>
            </w:r>
            <w:r w:rsidRPr="00CD5102">
              <w:rPr>
                <w:sz w:val="22"/>
                <w:vertAlign w:val="subscript"/>
              </w:rPr>
              <w:t>0</w:t>
            </w:r>
          </w:p>
        </w:tc>
        <w:tc>
          <w:tcPr>
            <w:tcW w:w="2948" w:type="dxa"/>
            <w:tcBorders>
              <w:bottom w:val="single" w:sz="4" w:space="0" w:color="000000"/>
            </w:tcBorders>
            <w:shd w:val="clear" w:color="auto" w:fill="auto"/>
            <w:vAlign w:val="center"/>
          </w:tcPr>
          <w:p w:rsidR="000448DB" w:rsidRPr="00CD5102" w:rsidRDefault="000448DB" w:rsidP="005247C2">
            <w:pPr>
              <w:pStyle w:val="WW-Default"/>
              <w:spacing w:before="60" w:after="60"/>
              <w:rPr>
                <w:sz w:val="22"/>
              </w:rPr>
            </w:pPr>
            <w:r w:rsidRPr="00CD5102">
              <w:rPr>
                <w:b/>
                <w:bCs/>
                <w:sz w:val="22"/>
              </w:rPr>
              <w:t xml:space="preserve">Very strong evidence </w:t>
            </w:r>
            <w:r w:rsidRPr="00CD5102">
              <w:rPr>
                <w:sz w:val="22"/>
              </w:rPr>
              <w:t>to reject H</w:t>
            </w:r>
            <w:r w:rsidRPr="00CD5102">
              <w:rPr>
                <w:sz w:val="22"/>
                <w:vertAlign w:val="subscript"/>
              </w:rPr>
              <w:t>0</w:t>
            </w:r>
            <w:r w:rsidRPr="00CD5102">
              <w:rPr>
                <w:sz w:val="22"/>
              </w:rPr>
              <w:t xml:space="preserve"> </w:t>
            </w:r>
          </w:p>
        </w:tc>
      </w:tr>
    </w:tbl>
    <w:p w:rsidR="000448DB" w:rsidRPr="00D83EDE" w:rsidRDefault="000448DB" w:rsidP="00C5714F">
      <w:pPr>
        <w:spacing w:before="120"/>
        <w:ind w:right="-568"/>
      </w:pPr>
      <w:r w:rsidRPr="00D83EDE">
        <w:t>You should always relate back the outcome of the hypothesis testing to particular variables in your study; don't just conclude with 'reject the null hypothesis'.  You will need to discuss your results and conclusions in the context of the work of others, and the potential for further studies.  Note that statistical significance does not necessarily indicate practical usefulness of a result.</w:t>
      </w:r>
    </w:p>
    <w:p w:rsidR="000448DB" w:rsidRPr="00D83EDE" w:rsidRDefault="000448DB" w:rsidP="00C5714F">
      <w:r w:rsidRPr="00D83EDE">
        <w:t xml:space="preserve">Several features in the design of a study affect the value of p, which is used to make a statistical decision.  These features also affect the ability of a test to reject a null hypothesis when it is false.  The probability of correctly rejecting a false null hypothesis is called the </w:t>
      </w:r>
      <w:r w:rsidRPr="00D83EDE">
        <w:rPr>
          <w:b/>
        </w:rPr>
        <w:t>power</w:t>
      </w:r>
      <w:r w:rsidRPr="00D83EDE">
        <w:t xml:space="preserve"> of a test.  See table below:</w:t>
      </w:r>
    </w:p>
    <w:tbl>
      <w:tblPr>
        <w:tblW w:w="0" w:type="auto"/>
        <w:jc w:val="center"/>
        <w:tblLayout w:type="fixed"/>
        <w:tblLook w:val="0000" w:firstRow="0" w:lastRow="0" w:firstColumn="0" w:lastColumn="0" w:noHBand="0" w:noVBand="0"/>
      </w:tblPr>
      <w:tblGrid>
        <w:gridCol w:w="1418"/>
        <w:gridCol w:w="1559"/>
        <w:gridCol w:w="1985"/>
      </w:tblGrid>
      <w:tr w:rsidR="000448DB" w:rsidRPr="00D83EDE" w:rsidTr="005247C2">
        <w:trPr>
          <w:trHeight w:val="555"/>
          <w:jc w:val="center"/>
        </w:trPr>
        <w:tc>
          <w:tcPr>
            <w:tcW w:w="1418" w:type="dxa"/>
            <w:vMerge w:val="restart"/>
            <w:shd w:val="clear" w:color="auto" w:fill="auto"/>
            <w:vAlign w:val="center"/>
          </w:tcPr>
          <w:p w:rsidR="000448DB" w:rsidRPr="00D83EDE" w:rsidRDefault="000448DB" w:rsidP="00C25E71">
            <w:pPr>
              <w:spacing w:after="0" w:line="240" w:lineRule="auto"/>
              <w:jc w:val="center"/>
              <w:rPr>
                <w:szCs w:val="22"/>
              </w:rPr>
            </w:pPr>
          </w:p>
          <w:p w:rsidR="000448DB" w:rsidRPr="00D83EDE" w:rsidRDefault="000448DB" w:rsidP="00C25E71">
            <w:pPr>
              <w:spacing w:after="0" w:line="240" w:lineRule="auto"/>
              <w:jc w:val="center"/>
              <w:rPr>
                <w:szCs w:val="22"/>
              </w:rPr>
            </w:pPr>
          </w:p>
          <w:p w:rsidR="000448DB" w:rsidRPr="00D83EDE" w:rsidRDefault="000448DB" w:rsidP="00C25E71">
            <w:pPr>
              <w:spacing w:after="0" w:line="240" w:lineRule="auto"/>
              <w:jc w:val="center"/>
              <w:rPr>
                <w:b/>
                <w:szCs w:val="22"/>
              </w:rPr>
            </w:pPr>
            <w:r w:rsidRPr="00CD5102">
              <w:rPr>
                <w:b/>
                <w:szCs w:val="22"/>
              </w:rPr>
              <w:t>Decision</w:t>
            </w:r>
          </w:p>
        </w:tc>
        <w:tc>
          <w:tcPr>
            <w:tcW w:w="3544" w:type="dxa"/>
            <w:gridSpan w:val="2"/>
            <w:tcBorders>
              <w:left w:val="single" w:sz="6" w:space="0" w:color="000000"/>
              <w:bottom w:val="single" w:sz="6" w:space="0" w:color="000000"/>
            </w:tcBorders>
            <w:shd w:val="clear" w:color="auto" w:fill="auto"/>
            <w:vAlign w:val="center"/>
          </w:tcPr>
          <w:p w:rsidR="000448DB" w:rsidRPr="00D83EDE" w:rsidRDefault="000448DB" w:rsidP="00C25E71">
            <w:pPr>
              <w:spacing w:after="0" w:line="240" w:lineRule="auto"/>
              <w:jc w:val="center"/>
              <w:rPr>
                <w:b/>
                <w:szCs w:val="22"/>
              </w:rPr>
            </w:pPr>
            <w:r w:rsidRPr="00CD5102">
              <w:rPr>
                <w:b/>
                <w:szCs w:val="22"/>
              </w:rPr>
              <w:t>Reality</w:t>
            </w:r>
          </w:p>
        </w:tc>
      </w:tr>
      <w:tr w:rsidR="000448DB" w:rsidRPr="00D83EDE" w:rsidTr="005247C2">
        <w:trPr>
          <w:trHeight w:val="555"/>
          <w:jc w:val="center"/>
        </w:trPr>
        <w:tc>
          <w:tcPr>
            <w:tcW w:w="1418" w:type="dxa"/>
            <w:vMerge/>
            <w:tcBorders>
              <w:bottom w:val="single" w:sz="6" w:space="0" w:color="000000"/>
            </w:tcBorders>
            <w:shd w:val="clear" w:color="auto" w:fill="auto"/>
            <w:vAlign w:val="center"/>
          </w:tcPr>
          <w:p w:rsidR="000448DB" w:rsidRPr="00D83EDE" w:rsidRDefault="000448DB" w:rsidP="00C25E71">
            <w:pPr>
              <w:spacing w:after="0" w:line="240" w:lineRule="auto"/>
              <w:jc w:val="center"/>
              <w:rPr>
                <w:szCs w:val="22"/>
              </w:rPr>
            </w:pPr>
          </w:p>
        </w:tc>
        <w:tc>
          <w:tcPr>
            <w:tcW w:w="1559" w:type="dxa"/>
            <w:tcBorders>
              <w:left w:val="single" w:sz="6" w:space="0" w:color="000000"/>
              <w:bottom w:val="single" w:sz="6" w:space="0" w:color="000000"/>
            </w:tcBorders>
            <w:shd w:val="clear" w:color="auto" w:fill="auto"/>
            <w:vAlign w:val="center"/>
          </w:tcPr>
          <w:p w:rsidR="000448DB" w:rsidRPr="00D83EDE" w:rsidRDefault="000448DB" w:rsidP="00C25E71">
            <w:pPr>
              <w:spacing w:after="0" w:line="240" w:lineRule="auto"/>
              <w:jc w:val="center"/>
              <w:rPr>
                <w:szCs w:val="22"/>
              </w:rPr>
            </w:pPr>
            <w:r w:rsidRPr="00D83EDE">
              <w:rPr>
                <w:szCs w:val="22"/>
              </w:rPr>
              <w:t>H</w:t>
            </w:r>
            <w:r w:rsidRPr="00D83EDE">
              <w:rPr>
                <w:szCs w:val="22"/>
                <w:vertAlign w:val="subscript"/>
              </w:rPr>
              <w:t>0</w:t>
            </w:r>
            <w:r w:rsidRPr="00D83EDE">
              <w:rPr>
                <w:szCs w:val="22"/>
              </w:rPr>
              <w:t xml:space="preserve"> True</w:t>
            </w:r>
          </w:p>
        </w:tc>
        <w:tc>
          <w:tcPr>
            <w:tcW w:w="1985" w:type="dxa"/>
            <w:tcBorders>
              <w:left w:val="single" w:sz="6" w:space="0" w:color="000000"/>
              <w:bottom w:val="single" w:sz="6" w:space="0" w:color="000000"/>
            </w:tcBorders>
            <w:shd w:val="clear" w:color="auto" w:fill="auto"/>
            <w:vAlign w:val="center"/>
          </w:tcPr>
          <w:p w:rsidR="000448DB" w:rsidRPr="00D83EDE" w:rsidRDefault="000448DB" w:rsidP="00C25E71">
            <w:pPr>
              <w:spacing w:after="0" w:line="240" w:lineRule="auto"/>
              <w:jc w:val="center"/>
              <w:rPr>
                <w:szCs w:val="22"/>
              </w:rPr>
            </w:pPr>
            <w:r w:rsidRPr="00D83EDE">
              <w:rPr>
                <w:szCs w:val="22"/>
              </w:rPr>
              <w:t>H</w:t>
            </w:r>
            <w:r w:rsidRPr="00D83EDE">
              <w:rPr>
                <w:szCs w:val="22"/>
                <w:vertAlign w:val="subscript"/>
              </w:rPr>
              <w:t>0</w:t>
            </w:r>
            <w:r w:rsidRPr="00D83EDE">
              <w:rPr>
                <w:szCs w:val="22"/>
              </w:rPr>
              <w:t xml:space="preserve"> False</w:t>
            </w:r>
          </w:p>
        </w:tc>
      </w:tr>
      <w:tr w:rsidR="000448DB" w:rsidRPr="00D83EDE" w:rsidTr="005247C2">
        <w:trPr>
          <w:jc w:val="center"/>
        </w:trPr>
        <w:tc>
          <w:tcPr>
            <w:tcW w:w="1418" w:type="dxa"/>
            <w:tcBorders>
              <w:top w:val="single" w:sz="6" w:space="0" w:color="000000"/>
              <w:bottom w:val="single" w:sz="6" w:space="0" w:color="000000"/>
            </w:tcBorders>
            <w:shd w:val="clear" w:color="auto" w:fill="auto"/>
            <w:vAlign w:val="center"/>
          </w:tcPr>
          <w:p w:rsidR="000448DB" w:rsidRPr="00D83EDE" w:rsidRDefault="000448DB" w:rsidP="00C25E71">
            <w:pPr>
              <w:spacing w:after="0" w:line="240" w:lineRule="auto"/>
              <w:jc w:val="center"/>
              <w:rPr>
                <w:b/>
                <w:color w:val="000000"/>
                <w:szCs w:val="22"/>
              </w:rPr>
            </w:pPr>
            <w:r w:rsidRPr="00D83EDE">
              <w:rPr>
                <w:szCs w:val="22"/>
              </w:rPr>
              <w:t>Accept H</w:t>
            </w:r>
            <w:r w:rsidRPr="00D83EDE">
              <w:rPr>
                <w:szCs w:val="22"/>
                <w:vertAlign w:val="subscript"/>
              </w:rPr>
              <w:t>0</w:t>
            </w:r>
          </w:p>
        </w:tc>
        <w:tc>
          <w:tcPr>
            <w:tcW w:w="1559" w:type="dxa"/>
            <w:tcBorders>
              <w:top w:val="single" w:sz="6" w:space="0" w:color="000000"/>
              <w:left w:val="single" w:sz="6" w:space="0" w:color="000000"/>
              <w:bottom w:val="single" w:sz="6" w:space="0" w:color="000000"/>
            </w:tcBorders>
            <w:shd w:val="clear" w:color="auto" w:fill="auto"/>
            <w:vAlign w:val="center"/>
          </w:tcPr>
          <w:p w:rsidR="000448DB" w:rsidRPr="00D83EDE" w:rsidRDefault="000448DB" w:rsidP="00AE095C">
            <w:pPr>
              <w:spacing w:before="120" w:after="0" w:line="240" w:lineRule="auto"/>
              <w:jc w:val="center"/>
              <w:rPr>
                <w:b/>
                <w:color w:val="000000"/>
                <w:szCs w:val="22"/>
              </w:rPr>
            </w:pPr>
            <w:r>
              <w:rPr>
                <w:b/>
                <w:color w:val="000000"/>
                <w:szCs w:val="22"/>
              </w:rPr>
              <w:sym w:font="Wingdings" w:char="F0FC"/>
            </w:r>
          </w:p>
          <w:p w:rsidR="000448DB" w:rsidRPr="00D83EDE" w:rsidRDefault="000448DB" w:rsidP="00C25E71">
            <w:pPr>
              <w:spacing w:after="0" w:line="240" w:lineRule="auto"/>
              <w:jc w:val="center"/>
              <w:rPr>
                <w:szCs w:val="22"/>
              </w:rPr>
            </w:pPr>
            <w:r w:rsidRPr="00D83EDE">
              <w:rPr>
                <w:color w:val="000000"/>
                <w:szCs w:val="22"/>
              </w:rPr>
              <w:t xml:space="preserve">1 - </w:t>
            </w:r>
            <w:r>
              <w:rPr>
                <w:rFonts w:eastAsia="Symbol"/>
                <w:szCs w:val="22"/>
              </w:rPr>
              <w:sym w:font="Symbol" w:char="F061"/>
            </w:r>
          </w:p>
        </w:tc>
        <w:tc>
          <w:tcPr>
            <w:tcW w:w="1985" w:type="dxa"/>
            <w:tcBorders>
              <w:top w:val="single" w:sz="6" w:space="0" w:color="000000"/>
              <w:left w:val="single" w:sz="6" w:space="0" w:color="000000"/>
              <w:bottom w:val="single" w:sz="6" w:space="0" w:color="000000"/>
            </w:tcBorders>
            <w:shd w:val="clear" w:color="auto" w:fill="auto"/>
          </w:tcPr>
          <w:p w:rsidR="000448DB" w:rsidRPr="00D83EDE" w:rsidRDefault="000448DB" w:rsidP="00AE095C">
            <w:pPr>
              <w:spacing w:before="120" w:after="0" w:line="240" w:lineRule="auto"/>
              <w:jc w:val="center"/>
              <w:rPr>
                <w:rFonts w:eastAsia="Symbol"/>
                <w:szCs w:val="22"/>
              </w:rPr>
            </w:pPr>
            <w:r w:rsidRPr="00D83EDE">
              <w:rPr>
                <w:szCs w:val="22"/>
              </w:rPr>
              <w:t>Type II error</w:t>
            </w:r>
          </w:p>
          <w:p w:rsidR="000448DB" w:rsidRPr="00D83EDE" w:rsidRDefault="000448DB" w:rsidP="00C25E71">
            <w:pPr>
              <w:spacing w:after="0" w:line="240" w:lineRule="auto"/>
              <w:jc w:val="center"/>
              <w:rPr>
                <w:szCs w:val="22"/>
              </w:rPr>
            </w:pPr>
            <w:r>
              <w:rPr>
                <w:rFonts w:eastAsia="Symbol"/>
                <w:szCs w:val="22"/>
              </w:rPr>
              <w:sym w:font="Symbol" w:char="F062"/>
            </w:r>
          </w:p>
        </w:tc>
      </w:tr>
      <w:tr w:rsidR="000448DB" w:rsidRPr="00D83EDE" w:rsidTr="005247C2">
        <w:trPr>
          <w:jc w:val="center"/>
        </w:trPr>
        <w:tc>
          <w:tcPr>
            <w:tcW w:w="1418" w:type="dxa"/>
            <w:tcBorders>
              <w:top w:val="single" w:sz="6" w:space="0" w:color="000000"/>
            </w:tcBorders>
            <w:shd w:val="clear" w:color="auto" w:fill="auto"/>
            <w:vAlign w:val="center"/>
          </w:tcPr>
          <w:p w:rsidR="000448DB" w:rsidRPr="00D83EDE" w:rsidRDefault="000448DB" w:rsidP="00C25E71">
            <w:pPr>
              <w:spacing w:after="0" w:line="240" w:lineRule="auto"/>
              <w:jc w:val="center"/>
              <w:rPr>
                <w:szCs w:val="22"/>
              </w:rPr>
            </w:pPr>
            <w:r w:rsidRPr="00D83EDE">
              <w:rPr>
                <w:szCs w:val="22"/>
              </w:rPr>
              <w:t>Reject H</w:t>
            </w:r>
            <w:r w:rsidRPr="00D83EDE">
              <w:rPr>
                <w:szCs w:val="22"/>
                <w:vertAlign w:val="subscript"/>
              </w:rPr>
              <w:t>0</w:t>
            </w:r>
          </w:p>
        </w:tc>
        <w:tc>
          <w:tcPr>
            <w:tcW w:w="1559" w:type="dxa"/>
            <w:tcBorders>
              <w:top w:val="single" w:sz="6" w:space="0" w:color="000000"/>
              <w:left w:val="single" w:sz="6" w:space="0" w:color="000000"/>
            </w:tcBorders>
            <w:shd w:val="clear" w:color="auto" w:fill="auto"/>
          </w:tcPr>
          <w:p w:rsidR="000448DB" w:rsidRPr="00D83EDE" w:rsidRDefault="000448DB" w:rsidP="00AE095C">
            <w:pPr>
              <w:spacing w:before="120" w:after="0" w:line="240" w:lineRule="auto"/>
              <w:jc w:val="center"/>
              <w:rPr>
                <w:rFonts w:eastAsia="Symbol"/>
                <w:szCs w:val="22"/>
              </w:rPr>
            </w:pPr>
            <w:r w:rsidRPr="00D83EDE">
              <w:rPr>
                <w:szCs w:val="22"/>
              </w:rPr>
              <w:t>Type I error</w:t>
            </w:r>
          </w:p>
          <w:p w:rsidR="000448DB" w:rsidRPr="00D83EDE" w:rsidRDefault="000448DB" w:rsidP="00C25E71">
            <w:pPr>
              <w:spacing w:after="0" w:line="240" w:lineRule="auto"/>
              <w:jc w:val="center"/>
              <w:rPr>
                <w:b/>
                <w:color w:val="000000"/>
                <w:szCs w:val="22"/>
              </w:rPr>
            </w:pPr>
            <w:r>
              <w:rPr>
                <w:rFonts w:eastAsia="Symbol"/>
                <w:szCs w:val="22"/>
              </w:rPr>
              <w:sym w:font="Symbol" w:char="F061"/>
            </w:r>
          </w:p>
        </w:tc>
        <w:tc>
          <w:tcPr>
            <w:tcW w:w="1985" w:type="dxa"/>
            <w:tcBorders>
              <w:top w:val="single" w:sz="6" w:space="0" w:color="000000"/>
              <w:left w:val="single" w:sz="6" w:space="0" w:color="000000"/>
            </w:tcBorders>
            <w:shd w:val="clear" w:color="auto" w:fill="auto"/>
          </w:tcPr>
          <w:p w:rsidR="000448DB" w:rsidRPr="00D83EDE" w:rsidRDefault="000448DB" w:rsidP="00AE095C">
            <w:pPr>
              <w:spacing w:before="120" w:after="0" w:line="240" w:lineRule="auto"/>
              <w:jc w:val="center"/>
              <w:rPr>
                <w:color w:val="000000"/>
                <w:szCs w:val="22"/>
              </w:rPr>
            </w:pPr>
            <w:r>
              <w:rPr>
                <w:b/>
                <w:color w:val="000000"/>
                <w:szCs w:val="22"/>
              </w:rPr>
              <w:sym w:font="Wingdings" w:char="F0FC"/>
            </w:r>
          </w:p>
          <w:p w:rsidR="000448DB" w:rsidRPr="00D83EDE" w:rsidRDefault="000448DB" w:rsidP="00C25E71">
            <w:pPr>
              <w:spacing w:after="0" w:line="240" w:lineRule="auto"/>
              <w:jc w:val="center"/>
            </w:pPr>
            <w:r w:rsidRPr="00D83EDE">
              <w:rPr>
                <w:color w:val="000000"/>
                <w:szCs w:val="22"/>
              </w:rPr>
              <w:t xml:space="preserve">Power (1 – </w:t>
            </w:r>
            <w:r>
              <w:rPr>
                <w:szCs w:val="22"/>
              </w:rPr>
              <w:sym w:font="Symbol" w:char="F062"/>
            </w:r>
            <w:r w:rsidRPr="00D83EDE">
              <w:rPr>
                <w:color w:val="000000"/>
                <w:szCs w:val="22"/>
              </w:rPr>
              <w:t>)</w:t>
            </w:r>
          </w:p>
        </w:tc>
      </w:tr>
    </w:tbl>
    <w:p w:rsidR="000448DB" w:rsidRPr="00D83EDE" w:rsidRDefault="000448DB" w:rsidP="00C25E71">
      <w:pPr>
        <w:spacing w:before="120"/>
      </w:pPr>
      <w:r w:rsidRPr="00D83EDE">
        <w:t xml:space="preserve">A decision to reject the null hypothesis might be wrong, with probability equal to the chosen significance level (often referred to </w:t>
      </w:r>
      <w:proofErr w:type="gramStart"/>
      <w:r w:rsidRPr="00D83EDE">
        <w:t xml:space="preserve">as </w:t>
      </w:r>
      <w:proofErr w:type="gramEnd"/>
      <w:r>
        <w:sym w:font="Symbol" w:char="F061"/>
      </w:r>
      <w:r w:rsidRPr="00D83EDE">
        <w:t xml:space="preserve">).  This incorrect decision is called a </w:t>
      </w:r>
      <w:r w:rsidRPr="00D83EDE">
        <w:rPr>
          <w:b/>
        </w:rPr>
        <w:t>type I error</w:t>
      </w:r>
      <w:r w:rsidRPr="00D83EDE">
        <w:t xml:space="preserve">. This is equivalent to </w:t>
      </w:r>
      <w:r w:rsidRPr="005205B8">
        <w:rPr>
          <w:i/>
        </w:rPr>
        <w:t>convicting an innocent person</w:t>
      </w:r>
      <w:r w:rsidRPr="00D83EDE">
        <w:t>.</w:t>
      </w:r>
    </w:p>
    <w:p w:rsidR="000448DB" w:rsidRPr="00D83EDE" w:rsidRDefault="000448DB" w:rsidP="00C5714F">
      <w:r w:rsidRPr="00D83EDE">
        <w:t>Settin</w:t>
      </w:r>
      <w:r w:rsidR="001971FD">
        <w:t>g the significance level at 0.001</w:t>
      </w:r>
      <w:r w:rsidRPr="00D83EDE">
        <w:t xml:space="preserve"> would reduce the risk of a type I error to a chance of 1 in 1000 hypothesis tests.  Other things being equal, however, this action would increase the probability of not rejecting a null hypothesis when it is false.  This incorrect decision is associated with a statistically non-significant result and is known as a </w:t>
      </w:r>
      <w:r w:rsidRPr="00D83EDE">
        <w:rPr>
          <w:b/>
        </w:rPr>
        <w:t>type II error</w:t>
      </w:r>
      <w:r w:rsidRPr="00D83EDE">
        <w:t xml:space="preserve">.  This is equivalent to </w:t>
      </w:r>
      <w:r w:rsidRPr="005205B8">
        <w:rPr>
          <w:i/>
        </w:rPr>
        <w:t>acquitting a guilty person</w:t>
      </w:r>
      <w:r w:rsidRPr="00D83EDE">
        <w:t xml:space="preserve">. </w:t>
      </w:r>
      <w:r>
        <w:t xml:space="preserve"> </w:t>
      </w:r>
      <w:r w:rsidRPr="00D83EDE">
        <w:t xml:space="preserve">The probability of a type II error (often referred to </w:t>
      </w:r>
      <w:proofErr w:type="gramStart"/>
      <w:r w:rsidRPr="00D83EDE">
        <w:t xml:space="preserve">as </w:t>
      </w:r>
      <w:proofErr w:type="gramEnd"/>
      <w:r>
        <w:sym w:font="Symbol" w:char="F062"/>
      </w:r>
      <w:r w:rsidRPr="00D83EDE">
        <w:t xml:space="preserve">) is related to the </w:t>
      </w:r>
      <w:r w:rsidRPr="00D83EDE">
        <w:rPr>
          <w:b/>
        </w:rPr>
        <w:t>power</w:t>
      </w:r>
      <w:r w:rsidRPr="00D83EDE">
        <w:t xml:space="preserve"> of a test (which is 1 - </w:t>
      </w:r>
      <w:r>
        <w:sym w:font="Symbol" w:char="F062"/>
      </w:r>
      <w:r w:rsidRPr="00D83EDE">
        <w:t>).</w:t>
      </w:r>
    </w:p>
    <w:p w:rsidR="00C5714F" w:rsidRDefault="00C5714F">
      <w:pPr>
        <w:spacing w:after="200" w:line="276" w:lineRule="auto"/>
        <w:rPr>
          <w:b/>
        </w:rPr>
      </w:pPr>
      <w:r>
        <w:rPr>
          <w:b/>
        </w:rPr>
        <w:br w:type="page"/>
      </w:r>
    </w:p>
    <w:p w:rsidR="000448DB" w:rsidRPr="00D83EDE" w:rsidRDefault="000448DB" w:rsidP="00C5714F">
      <w:pPr>
        <w:pStyle w:val="Heading20"/>
      </w:pPr>
      <w:r w:rsidRPr="00D83EDE">
        <w:lastRenderedPageBreak/>
        <w:t>Common hypothesis tests</w:t>
      </w:r>
    </w:p>
    <w:tbl>
      <w:tblPr>
        <w:tblW w:w="9180" w:type="dxa"/>
        <w:tblLayout w:type="fixed"/>
        <w:tblLook w:val="0000" w:firstRow="0" w:lastRow="0" w:firstColumn="0" w:lastColumn="0" w:noHBand="0" w:noVBand="0"/>
      </w:tblPr>
      <w:tblGrid>
        <w:gridCol w:w="1809"/>
        <w:gridCol w:w="1871"/>
        <w:gridCol w:w="2949"/>
        <w:gridCol w:w="2551"/>
      </w:tblGrid>
      <w:tr w:rsidR="000448DB" w:rsidRPr="00D83EDE" w:rsidTr="005247C2">
        <w:tc>
          <w:tcPr>
            <w:tcW w:w="1809" w:type="dxa"/>
            <w:vMerge w:val="restart"/>
            <w:tcBorders>
              <w:top w:val="single" w:sz="4" w:space="0" w:color="000000"/>
            </w:tcBorders>
            <w:shd w:val="clear" w:color="auto" w:fill="auto"/>
          </w:tcPr>
          <w:p w:rsidR="000448DB" w:rsidRPr="00D83EDE" w:rsidRDefault="000448DB" w:rsidP="005247C2">
            <w:pPr>
              <w:spacing w:before="60" w:after="60"/>
              <w:jc w:val="center"/>
              <w:rPr>
                <w:b/>
              </w:rPr>
            </w:pPr>
            <w:r w:rsidRPr="00D83EDE">
              <w:rPr>
                <w:b/>
              </w:rPr>
              <w:t>Level of measurement of data</w:t>
            </w:r>
          </w:p>
        </w:tc>
        <w:tc>
          <w:tcPr>
            <w:tcW w:w="1871" w:type="dxa"/>
            <w:vMerge w:val="restart"/>
            <w:tcBorders>
              <w:top w:val="single" w:sz="4" w:space="0" w:color="000000"/>
            </w:tcBorders>
            <w:shd w:val="clear" w:color="auto" w:fill="auto"/>
            <w:vAlign w:val="center"/>
          </w:tcPr>
          <w:p w:rsidR="000448DB" w:rsidRPr="00D83EDE" w:rsidRDefault="000448DB" w:rsidP="005247C2">
            <w:pPr>
              <w:spacing w:before="60" w:after="60"/>
              <w:jc w:val="center"/>
              <w:rPr>
                <w:b/>
              </w:rPr>
            </w:pPr>
            <w:r>
              <w:rPr>
                <w:b/>
              </w:rPr>
              <w:t>Test of association (r</w:t>
            </w:r>
            <w:r w:rsidRPr="00D83EDE">
              <w:rPr>
                <w:b/>
              </w:rPr>
              <w:t>elationship)</w:t>
            </w:r>
          </w:p>
        </w:tc>
        <w:tc>
          <w:tcPr>
            <w:tcW w:w="5500" w:type="dxa"/>
            <w:gridSpan w:val="2"/>
            <w:tcBorders>
              <w:top w:val="single" w:sz="4" w:space="0" w:color="000000"/>
            </w:tcBorders>
            <w:shd w:val="clear" w:color="auto" w:fill="auto"/>
          </w:tcPr>
          <w:p w:rsidR="000448DB" w:rsidRPr="00D83EDE" w:rsidRDefault="000448DB" w:rsidP="005247C2">
            <w:pPr>
              <w:spacing w:before="60"/>
              <w:jc w:val="center"/>
              <w:rPr>
                <w:b/>
              </w:rPr>
            </w:pPr>
            <w:r>
              <w:rPr>
                <w:b/>
              </w:rPr>
              <w:t>Test of d</w:t>
            </w:r>
            <w:r w:rsidRPr="00D83EDE">
              <w:rPr>
                <w:b/>
              </w:rPr>
              <w:t>ifference</w:t>
            </w:r>
          </w:p>
          <w:p w:rsidR="000448DB" w:rsidRPr="00D83EDE" w:rsidRDefault="000448DB" w:rsidP="005247C2">
            <w:pPr>
              <w:spacing w:after="60"/>
              <w:jc w:val="center"/>
            </w:pPr>
            <w:r>
              <w:rPr>
                <w:b/>
              </w:rPr>
              <w:t>(c</w:t>
            </w:r>
            <w:r w:rsidRPr="00D83EDE">
              <w:rPr>
                <w:b/>
              </w:rPr>
              <w:t>omparison)</w:t>
            </w:r>
          </w:p>
        </w:tc>
      </w:tr>
      <w:tr w:rsidR="000448DB" w:rsidRPr="00D83EDE" w:rsidTr="005247C2">
        <w:tc>
          <w:tcPr>
            <w:tcW w:w="1809" w:type="dxa"/>
            <w:vMerge/>
            <w:tcBorders>
              <w:bottom w:val="single" w:sz="4" w:space="0" w:color="000000"/>
            </w:tcBorders>
            <w:shd w:val="clear" w:color="auto" w:fill="auto"/>
          </w:tcPr>
          <w:p w:rsidR="000448DB" w:rsidRPr="00D83EDE" w:rsidRDefault="000448DB" w:rsidP="005247C2">
            <w:pPr>
              <w:snapToGrid w:val="0"/>
              <w:spacing w:before="60" w:after="60"/>
            </w:pPr>
          </w:p>
        </w:tc>
        <w:tc>
          <w:tcPr>
            <w:tcW w:w="1871" w:type="dxa"/>
            <w:vMerge/>
            <w:tcBorders>
              <w:bottom w:val="single" w:sz="4" w:space="0" w:color="000000"/>
            </w:tcBorders>
            <w:shd w:val="clear" w:color="auto" w:fill="auto"/>
          </w:tcPr>
          <w:p w:rsidR="000448DB" w:rsidRPr="00D83EDE" w:rsidRDefault="000448DB" w:rsidP="005247C2">
            <w:pPr>
              <w:snapToGrid w:val="0"/>
              <w:spacing w:before="60" w:after="60"/>
            </w:pPr>
          </w:p>
        </w:tc>
        <w:tc>
          <w:tcPr>
            <w:tcW w:w="2949" w:type="dxa"/>
            <w:tcBorders>
              <w:bottom w:val="single" w:sz="4" w:space="0" w:color="000000"/>
            </w:tcBorders>
            <w:shd w:val="clear" w:color="auto" w:fill="auto"/>
            <w:vAlign w:val="center"/>
          </w:tcPr>
          <w:p w:rsidR="000448DB" w:rsidRPr="00D83EDE" w:rsidRDefault="000448DB" w:rsidP="005247C2">
            <w:pPr>
              <w:spacing w:before="60" w:after="60"/>
              <w:jc w:val="center"/>
              <w:rPr>
                <w:b/>
              </w:rPr>
            </w:pPr>
            <w:r w:rsidRPr="00D83EDE">
              <w:rPr>
                <w:b/>
              </w:rPr>
              <w:t>2 groups</w:t>
            </w:r>
          </w:p>
        </w:tc>
        <w:tc>
          <w:tcPr>
            <w:tcW w:w="2551" w:type="dxa"/>
            <w:tcBorders>
              <w:bottom w:val="single" w:sz="4" w:space="0" w:color="000000"/>
            </w:tcBorders>
            <w:shd w:val="clear" w:color="auto" w:fill="auto"/>
            <w:vAlign w:val="center"/>
          </w:tcPr>
          <w:p w:rsidR="000448DB" w:rsidRPr="00D83EDE" w:rsidRDefault="000448DB" w:rsidP="005247C2">
            <w:pPr>
              <w:spacing w:before="60" w:after="60"/>
              <w:jc w:val="center"/>
            </w:pPr>
            <w:r w:rsidRPr="00D83EDE">
              <w:rPr>
                <w:b/>
              </w:rPr>
              <w:t>&gt;2 groups</w:t>
            </w:r>
          </w:p>
        </w:tc>
      </w:tr>
      <w:tr w:rsidR="000448DB" w:rsidRPr="00D83EDE" w:rsidTr="005247C2">
        <w:tc>
          <w:tcPr>
            <w:tcW w:w="1809" w:type="dxa"/>
            <w:tcBorders>
              <w:top w:val="single" w:sz="4" w:space="0" w:color="000000"/>
              <w:bottom w:val="single" w:sz="4" w:space="0" w:color="auto"/>
            </w:tcBorders>
            <w:shd w:val="clear" w:color="auto" w:fill="auto"/>
            <w:vAlign w:val="center"/>
          </w:tcPr>
          <w:p w:rsidR="000448DB" w:rsidRPr="00CD5102" w:rsidRDefault="000448DB" w:rsidP="005247C2">
            <w:pPr>
              <w:spacing w:before="60" w:after="60"/>
              <w:jc w:val="center"/>
            </w:pPr>
            <w:r w:rsidRPr="00CD5102">
              <w:t>Nominal</w:t>
            </w:r>
          </w:p>
        </w:tc>
        <w:tc>
          <w:tcPr>
            <w:tcW w:w="1871" w:type="dxa"/>
            <w:tcBorders>
              <w:top w:val="single" w:sz="4" w:space="0" w:color="000000"/>
              <w:bottom w:val="single" w:sz="4" w:space="0" w:color="auto"/>
            </w:tcBorders>
            <w:shd w:val="clear" w:color="auto" w:fill="auto"/>
            <w:vAlign w:val="center"/>
          </w:tcPr>
          <w:p w:rsidR="000448DB" w:rsidRPr="00CD5102" w:rsidRDefault="000448DB" w:rsidP="005247C2">
            <w:pPr>
              <w:spacing w:before="60" w:after="60"/>
              <w:jc w:val="center"/>
            </w:pPr>
            <w:r w:rsidRPr="00CD5102">
              <w:t>Chi-squared</w:t>
            </w:r>
          </w:p>
        </w:tc>
        <w:tc>
          <w:tcPr>
            <w:tcW w:w="2949" w:type="dxa"/>
            <w:tcBorders>
              <w:top w:val="single" w:sz="4" w:space="0" w:color="000000"/>
              <w:bottom w:val="single" w:sz="4" w:space="0" w:color="auto"/>
            </w:tcBorders>
            <w:shd w:val="clear" w:color="auto" w:fill="auto"/>
            <w:vAlign w:val="center"/>
          </w:tcPr>
          <w:p w:rsidR="000448DB" w:rsidRPr="00CD5102" w:rsidRDefault="000448DB" w:rsidP="005247C2">
            <w:pPr>
              <w:spacing w:before="60" w:after="60"/>
              <w:jc w:val="center"/>
            </w:pPr>
            <w:r w:rsidRPr="00CD5102">
              <w:t>Chi-squared</w:t>
            </w:r>
          </w:p>
        </w:tc>
        <w:tc>
          <w:tcPr>
            <w:tcW w:w="2551" w:type="dxa"/>
            <w:tcBorders>
              <w:top w:val="single" w:sz="4" w:space="0" w:color="000000"/>
              <w:bottom w:val="single" w:sz="4" w:space="0" w:color="auto"/>
            </w:tcBorders>
            <w:shd w:val="clear" w:color="auto" w:fill="auto"/>
            <w:vAlign w:val="center"/>
          </w:tcPr>
          <w:p w:rsidR="000448DB" w:rsidRPr="00CD5102" w:rsidRDefault="000448DB" w:rsidP="005247C2">
            <w:pPr>
              <w:snapToGrid w:val="0"/>
              <w:spacing w:before="60" w:after="60"/>
              <w:jc w:val="center"/>
            </w:pPr>
          </w:p>
        </w:tc>
      </w:tr>
      <w:tr w:rsidR="000448DB" w:rsidRPr="00D83EDE" w:rsidTr="005247C2">
        <w:tc>
          <w:tcPr>
            <w:tcW w:w="1809" w:type="dxa"/>
            <w:tcBorders>
              <w:top w:val="single" w:sz="4" w:space="0" w:color="auto"/>
              <w:bottom w:val="single" w:sz="4" w:space="0" w:color="auto"/>
            </w:tcBorders>
            <w:shd w:val="clear" w:color="auto" w:fill="auto"/>
            <w:vAlign w:val="center"/>
          </w:tcPr>
          <w:p w:rsidR="000448DB" w:rsidRPr="00CD5102" w:rsidRDefault="000448DB" w:rsidP="005247C2">
            <w:pPr>
              <w:spacing w:before="60" w:after="60"/>
              <w:jc w:val="center"/>
            </w:pPr>
            <w:r w:rsidRPr="00CD5102">
              <w:t>Ordinal</w:t>
            </w:r>
          </w:p>
        </w:tc>
        <w:tc>
          <w:tcPr>
            <w:tcW w:w="1871" w:type="dxa"/>
            <w:tcBorders>
              <w:top w:val="single" w:sz="4" w:space="0" w:color="auto"/>
              <w:bottom w:val="single" w:sz="4" w:space="0" w:color="auto"/>
            </w:tcBorders>
            <w:shd w:val="clear" w:color="auto" w:fill="auto"/>
            <w:vAlign w:val="center"/>
          </w:tcPr>
          <w:p w:rsidR="000448DB" w:rsidRPr="00CD5102" w:rsidRDefault="000448DB" w:rsidP="005247C2">
            <w:pPr>
              <w:spacing w:before="60" w:after="60"/>
              <w:jc w:val="center"/>
            </w:pPr>
            <w:r w:rsidRPr="00CD5102">
              <w:t>Spearman</w:t>
            </w:r>
          </w:p>
        </w:tc>
        <w:tc>
          <w:tcPr>
            <w:tcW w:w="2949" w:type="dxa"/>
            <w:tcBorders>
              <w:top w:val="single" w:sz="4" w:space="0" w:color="auto"/>
              <w:bottom w:val="single" w:sz="4" w:space="0" w:color="auto"/>
            </w:tcBorders>
            <w:shd w:val="clear" w:color="auto" w:fill="auto"/>
            <w:vAlign w:val="center"/>
          </w:tcPr>
          <w:p w:rsidR="000448DB" w:rsidRPr="00CD5102" w:rsidRDefault="000448DB" w:rsidP="005247C2">
            <w:pPr>
              <w:spacing w:before="60" w:after="60"/>
              <w:jc w:val="center"/>
            </w:pPr>
            <w:r w:rsidRPr="00CD5102">
              <w:t>Mann-Whitney U (unrelated)</w:t>
            </w:r>
          </w:p>
          <w:p w:rsidR="000448DB" w:rsidRPr="00CD5102" w:rsidRDefault="000448DB" w:rsidP="005247C2">
            <w:pPr>
              <w:spacing w:before="60" w:after="60"/>
              <w:jc w:val="center"/>
            </w:pPr>
            <w:r w:rsidRPr="00CD5102">
              <w:t>Wilcoxon (related)</w:t>
            </w:r>
          </w:p>
        </w:tc>
        <w:tc>
          <w:tcPr>
            <w:tcW w:w="2551" w:type="dxa"/>
            <w:tcBorders>
              <w:top w:val="single" w:sz="4" w:space="0" w:color="auto"/>
              <w:bottom w:val="single" w:sz="4" w:space="0" w:color="auto"/>
            </w:tcBorders>
            <w:shd w:val="clear" w:color="auto" w:fill="auto"/>
            <w:vAlign w:val="center"/>
          </w:tcPr>
          <w:p w:rsidR="000448DB" w:rsidRPr="00CD5102" w:rsidRDefault="000448DB" w:rsidP="005247C2">
            <w:pPr>
              <w:spacing w:before="60" w:after="60"/>
              <w:jc w:val="center"/>
            </w:pPr>
            <w:proofErr w:type="spellStart"/>
            <w:r w:rsidRPr="00CD5102">
              <w:t>Kruskall</w:t>
            </w:r>
            <w:proofErr w:type="spellEnd"/>
            <w:r w:rsidRPr="00CD5102">
              <w:t>-Wallis (unrelated)</w:t>
            </w:r>
          </w:p>
          <w:p w:rsidR="000448DB" w:rsidRPr="00CD5102" w:rsidRDefault="000448DB" w:rsidP="005247C2">
            <w:pPr>
              <w:spacing w:before="60" w:after="60"/>
              <w:jc w:val="center"/>
            </w:pPr>
            <w:r w:rsidRPr="00CD5102">
              <w:t>Friedman (related)</w:t>
            </w:r>
          </w:p>
        </w:tc>
      </w:tr>
      <w:tr w:rsidR="000448DB" w:rsidRPr="00D83EDE" w:rsidTr="005247C2">
        <w:tc>
          <w:tcPr>
            <w:tcW w:w="1809" w:type="dxa"/>
            <w:tcBorders>
              <w:top w:val="single" w:sz="4" w:space="0" w:color="auto"/>
              <w:bottom w:val="single" w:sz="4" w:space="0" w:color="000000"/>
            </w:tcBorders>
            <w:shd w:val="clear" w:color="auto" w:fill="auto"/>
            <w:vAlign w:val="center"/>
          </w:tcPr>
          <w:p w:rsidR="000448DB" w:rsidRPr="00CD5102" w:rsidRDefault="000448DB" w:rsidP="005247C2">
            <w:pPr>
              <w:spacing w:before="60" w:after="60"/>
              <w:jc w:val="center"/>
            </w:pPr>
            <w:r w:rsidRPr="00CD5102">
              <w:t>Scale (continuous)</w:t>
            </w:r>
          </w:p>
        </w:tc>
        <w:tc>
          <w:tcPr>
            <w:tcW w:w="1871" w:type="dxa"/>
            <w:tcBorders>
              <w:top w:val="single" w:sz="4" w:space="0" w:color="auto"/>
              <w:bottom w:val="single" w:sz="4" w:space="0" w:color="000000"/>
            </w:tcBorders>
            <w:shd w:val="clear" w:color="auto" w:fill="auto"/>
            <w:vAlign w:val="center"/>
          </w:tcPr>
          <w:p w:rsidR="000448DB" w:rsidRPr="00CD5102" w:rsidRDefault="000448DB" w:rsidP="005247C2">
            <w:pPr>
              <w:spacing w:before="60" w:after="60"/>
              <w:jc w:val="center"/>
            </w:pPr>
            <w:r w:rsidRPr="00CD5102">
              <w:t>Pearson</w:t>
            </w:r>
          </w:p>
        </w:tc>
        <w:tc>
          <w:tcPr>
            <w:tcW w:w="2949" w:type="dxa"/>
            <w:tcBorders>
              <w:top w:val="single" w:sz="4" w:space="0" w:color="auto"/>
              <w:bottom w:val="single" w:sz="4" w:space="0" w:color="000000"/>
            </w:tcBorders>
            <w:shd w:val="clear" w:color="auto" w:fill="auto"/>
            <w:vAlign w:val="center"/>
          </w:tcPr>
          <w:p w:rsidR="000448DB" w:rsidRPr="00CD5102" w:rsidRDefault="000448DB" w:rsidP="005247C2">
            <w:pPr>
              <w:spacing w:before="60" w:after="60"/>
              <w:jc w:val="center"/>
            </w:pPr>
            <w:r w:rsidRPr="00CD5102">
              <w:t>Independent t-test (unrelated)</w:t>
            </w:r>
          </w:p>
          <w:p w:rsidR="000448DB" w:rsidRPr="00CD5102" w:rsidRDefault="000448DB" w:rsidP="005247C2">
            <w:pPr>
              <w:spacing w:before="60" w:after="60"/>
              <w:jc w:val="center"/>
            </w:pPr>
            <w:r w:rsidRPr="00CD5102">
              <w:t>Paired t-test (related)</w:t>
            </w:r>
          </w:p>
        </w:tc>
        <w:tc>
          <w:tcPr>
            <w:tcW w:w="2551" w:type="dxa"/>
            <w:tcBorders>
              <w:top w:val="single" w:sz="4" w:space="0" w:color="auto"/>
              <w:bottom w:val="single" w:sz="4" w:space="0" w:color="000000"/>
            </w:tcBorders>
            <w:shd w:val="clear" w:color="auto" w:fill="auto"/>
            <w:vAlign w:val="center"/>
          </w:tcPr>
          <w:p w:rsidR="000448DB" w:rsidRPr="00CD5102" w:rsidRDefault="000448DB" w:rsidP="005247C2">
            <w:pPr>
              <w:spacing w:before="60" w:after="60"/>
              <w:jc w:val="center"/>
            </w:pPr>
            <w:r w:rsidRPr="00CD5102">
              <w:t>One-way ANOVA (unrelated)</w:t>
            </w:r>
          </w:p>
          <w:p w:rsidR="000448DB" w:rsidRPr="00CD5102" w:rsidRDefault="000448DB" w:rsidP="005247C2">
            <w:pPr>
              <w:spacing w:before="60" w:after="60"/>
              <w:jc w:val="center"/>
            </w:pPr>
            <w:r w:rsidRPr="00CD5102">
              <w:t>Repeated measures ANOVA (related)</w:t>
            </w:r>
          </w:p>
        </w:tc>
      </w:tr>
    </w:tbl>
    <w:p w:rsidR="000448DB" w:rsidRPr="00D83EDE" w:rsidRDefault="000448DB" w:rsidP="00C5714F">
      <w:pPr>
        <w:spacing w:after="0"/>
      </w:pPr>
    </w:p>
    <w:p w:rsidR="000448DB" w:rsidRPr="00D83EDE" w:rsidRDefault="000448DB" w:rsidP="00C5714F">
      <w:pPr>
        <w:pStyle w:val="Heading20"/>
      </w:pPr>
      <w:r w:rsidRPr="00D83EDE">
        <w:t>Limitations</w:t>
      </w:r>
    </w:p>
    <w:p w:rsidR="000448DB" w:rsidRPr="00D83EDE" w:rsidRDefault="000448DB" w:rsidP="000448DB">
      <w:r w:rsidRPr="00D83EDE">
        <w:t>For your project/dissertation, you may be restricted in the data you are able to collect.  For example, you may not have a true 'random sample', but rather a 'convenience' sample.  Always try to get as big a sample as possible, but you may only be able to obtain a relatively small number of cases (e.g. less than 30).  This may affect the results of statistical testing.  Another influence on outcomes is underlying assumptions necessary for the validity of the tests.</w:t>
      </w:r>
    </w:p>
    <w:p w:rsidR="000448DB" w:rsidRPr="00D83EDE" w:rsidRDefault="000448DB" w:rsidP="00C5714F">
      <w:pPr>
        <w:pStyle w:val="Heading20"/>
      </w:pPr>
      <w:r w:rsidRPr="00D83EDE">
        <w:t>Assumptions</w:t>
      </w:r>
    </w:p>
    <w:p w:rsidR="00AE095C" w:rsidRDefault="000448DB" w:rsidP="00AE095C">
      <w:r w:rsidRPr="00D83EDE">
        <w:t>When performing parametric tests (in general, those for scale data), e</w:t>
      </w:r>
      <w:r>
        <w:t>.</w:t>
      </w:r>
      <w:r w:rsidRPr="00D83EDE">
        <w:t>g. t-tests and ANOVA, the data are assumed to be representative of the population from which they have been drawn and co</w:t>
      </w:r>
      <w:r w:rsidR="00AE095C">
        <w:t>me from a normal distribution.</w:t>
      </w:r>
      <w:r w:rsidR="003E55AA">
        <w:t xml:space="preserve"> See the </w:t>
      </w:r>
      <w:r w:rsidR="003E55AA" w:rsidRPr="003E55AA">
        <w:rPr>
          <w:b/>
        </w:rPr>
        <w:t>checking normality for parametric tests</w:t>
      </w:r>
      <w:r w:rsidR="003E55AA">
        <w:t xml:space="preserve"> worksheet.</w:t>
      </w:r>
    </w:p>
    <w:p w:rsidR="000448DB" w:rsidRPr="00D83EDE" w:rsidRDefault="000448DB" w:rsidP="00C5714F">
      <w:pPr>
        <w:pStyle w:val="Heading20"/>
      </w:pPr>
      <w:r w:rsidRPr="00D83EDE">
        <w:t>Robustness</w:t>
      </w:r>
    </w:p>
    <w:p w:rsidR="000448DB" w:rsidRPr="00D83EDE" w:rsidRDefault="000448DB" w:rsidP="000448DB">
      <w:pPr>
        <w:autoSpaceDE w:val="0"/>
      </w:pPr>
      <w:r w:rsidRPr="00D83EDE">
        <w:t>Although parameter-based statistical tests make certain assumptions in their underlying models</w:t>
      </w:r>
      <w:r w:rsidRPr="00D83EDE">
        <w:rPr>
          <w:rFonts w:eastAsia="Arial"/>
        </w:rPr>
        <w:t>, they often work well in other situations where these assumptions are violated.  This is known as robustness.</w:t>
      </w:r>
    </w:p>
    <w:p w:rsidR="000448DB" w:rsidRPr="00D83EDE" w:rsidRDefault="000448DB" w:rsidP="00C5714F">
      <w:pPr>
        <w:pStyle w:val="Heading20"/>
      </w:pPr>
      <w:r w:rsidRPr="00D83EDE">
        <w:t>Violation of assumptions</w:t>
      </w:r>
    </w:p>
    <w:p w:rsidR="000448DB" w:rsidRPr="00D83EDE" w:rsidRDefault="000448DB" w:rsidP="00AE095C">
      <w:pPr>
        <w:spacing w:after="0"/>
      </w:pPr>
      <w:r w:rsidRPr="00D83EDE">
        <w:t>If assumptions a</w:t>
      </w:r>
      <w:r w:rsidR="00AE095C">
        <w:t>re still in doubt, you can use the equivalent</w:t>
      </w:r>
      <w:r w:rsidRPr="00D83EDE">
        <w:t xml:space="preserve"> non-parametric test, such as the </w:t>
      </w:r>
      <w:r w:rsidR="00AE095C">
        <w:t>Mann-Whitney U test instead of an unpaired t-test.</w:t>
      </w:r>
      <w:r w:rsidRPr="00D83EDE">
        <w:rPr>
          <w:rFonts w:eastAsia="Arial"/>
        </w:rPr>
        <w:t xml:space="preserve">  These are found</w:t>
      </w:r>
      <w:r w:rsidR="00AE095C">
        <w:rPr>
          <w:rFonts w:eastAsia="Arial"/>
        </w:rPr>
        <w:t xml:space="preserve"> in SPSS under the </w:t>
      </w:r>
      <w:proofErr w:type="spellStart"/>
      <w:r w:rsidR="00AE095C">
        <w:rPr>
          <w:rFonts w:eastAsia="Arial"/>
        </w:rPr>
        <w:t>Analyz</w:t>
      </w:r>
      <w:r w:rsidR="00C5714F">
        <w:rPr>
          <w:rFonts w:eastAsia="Arial"/>
        </w:rPr>
        <w:t>e</w:t>
      </w:r>
      <w:proofErr w:type="spellEnd"/>
      <w:r w:rsidR="00C5714F">
        <w:rPr>
          <w:rFonts w:eastAsia="Arial"/>
        </w:rPr>
        <w:t xml:space="preserve"> menu.</w:t>
      </w:r>
    </w:p>
    <w:sectPr w:rsidR="000448DB" w:rsidRPr="00D83EDE" w:rsidSect="000734E8">
      <w:headerReference w:type="default" r:id="rId7"/>
      <w:footerReference w:type="default" r:id="rId8"/>
      <w:headerReference w:type="first" r:id="rId9"/>
      <w:footerReference w:type="first" r:id="rId10"/>
      <w:pgSz w:w="11906" w:h="16838" w:code="9"/>
      <w:pgMar w:top="1440"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AE9" w:rsidRDefault="001E3AE9" w:rsidP="00A76DB3">
      <w:r>
        <w:separator/>
      </w:r>
    </w:p>
    <w:p w:rsidR="001E3AE9" w:rsidRDefault="001E3AE9" w:rsidP="00A76DB3"/>
    <w:p w:rsidR="001E3AE9" w:rsidRDefault="001E3AE9" w:rsidP="00A76DB3"/>
  </w:endnote>
  <w:endnote w:type="continuationSeparator" w:id="0">
    <w:p w:rsidR="001E3AE9" w:rsidRDefault="001E3AE9" w:rsidP="00A76DB3">
      <w:r>
        <w:continuationSeparator/>
      </w:r>
    </w:p>
    <w:p w:rsidR="001E3AE9" w:rsidRDefault="001E3AE9" w:rsidP="00A76DB3"/>
    <w:p w:rsidR="001E3AE9" w:rsidRDefault="001E3AE9"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139" w:rsidRPr="00C0592A" w:rsidRDefault="0083698C" w:rsidP="00A76DB3">
    <w:pPr>
      <w:pStyle w:val="Footer"/>
      <w:tabs>
        <w:tab w:val="clear" w:pos="4513"/>
        <w:tab w:val="clear" w:pos="9026"/>
        <w:tab w:val="center" w:pos="4678"/>
        <w:tab w:val="right" w:pos="9639"/>
      </w:tabs>
      <w:spacing w:line="240" w:lineRule="auto"/>
    </w:pPr>
    <w:r w:rsidRPr="00C0592A">
      <w:t xml:space="preserve">    </w:t>
    </w:r>
    <w:r w:rsidR="000734E8" w:rsidRPr="00C0592A">
      <w:rPr>
        <w:noProof/>
        <w:lang w:eastAsia="en-GB"/>
      </w:rPr>
      <w:drawing>
        <wp:inline distT="0" distB="0" distL="0" distR="0" wp14:anchorId="1B9E2FB5" wp14:editId="1E98F1EC">
          <wp:extent cx="1045521" cy="372269"/>
          <wp:effectExtent l="0" t="0" r="2540" b="8890"/>
          <wp:docPr id="8" name="Picture 8"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C0592A">
      <w:tab/>
    </w:r>
    <w:r w:rsidR="008C2139" w:rsidRPr="00C0592A">
      <w:t xml:space="preserve">© </w:t>
    </w:r>
    <w:r w:rsidR="00C25E71">
      <w:t xml:space="preserve">Mollie Gilchrist and </w:t>
    </w:r>
    <w:r w:rsidR="008C2139">
      <w:t>Peter Samuels</w:t>
    </w:r>
    <w:r w:rsidR="008C2139">
      <w:tab/>
      <w:t>Reviewer: Ellen Marshall</w:t>
    </w:r>
  </w:p>
  <w:p w:rsidR="0083698C" w:rsidRDefault="008C2139" w:rsidP="00A76DB3">
    <w:pPr>
      <w:pStyle w:val="Footer"/>
      <w:tabs>
        <w:tab w:val="clear" w:pos="4513"/>
        <w:tab w:val="clear" w:pos="9026"/>
        <w:tab w:val="center" w:pos="4678"/>
        <w:tab w:val="right" w:pos="9639"/>
      </w:tabs>
      <w:spacing w:line="240" w:lineRule="auto"/>
    </w:pPr>
    <w:r>
      <w:t xml:space="preserve">  </w:t>
    </w:r>
    <w:r w:rsidRPr="00C0592A">
      <w:t>www.statstutor.ac.uk</w:t>
    </w:r>
    <w:r w:rsidRPr="00C0592A">
      <w:tab/>
    </w:r>
    <w:r>
      <w:t>Birmingham City University</w:t>
    </w:r>
    <w:r w:rsidRPr="00C0592A">
      <w:tab/>
    </w:r>
    <w:r>
      <w:t>University of Sheffield</w:t>
    </w:r>
  </w:p>
  <w:p w:rsidR="005F7EC1" w:rsidRPr="005F7EC1" w:rsidRDefault="005F7EC1" w:rsidP="005F7EC1">
    <w:pPr>
      <w:pStyle w:val="Footer"/>
      <w:spacing w:before="120"/>
      <w:jc w:val="center"/>
      <w:rPr>
        <w:sz w:val="20"/>
      </w:rPr>
    </w:pPr>
    <w:r w:rsidRPr="00F51D3F">
      <w:rPr>
        <w:sz w:val="20"/>
      </w:rPr>
      <w:t>Based on material provided by Loughborough University Mathematics Learning Support Centre and Coventry University Mathematics Support Centre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98C" w:rsidRPr="00C0592A" w:rsidRDefault="0083698C" w:rsidP="00A76DB3">
    <w:pPr>
      <w:pStyle w:val="Footer"/>
      <w:tabs>
        <w:tab w:val="clear" w:pos="4513"/>
        <w:tab w:val="clear" w:pos="9026"/>
        <w:tab w:val="center" w:pos="4678"/>
        <w:tab w:val="right" w:pos="9639"/>
      </w:tabs>
      <w:spacing w:line="240" w:lineRule="auto"/>
    </w:pPr>
    <w:r w:rsidRPr="00C0592A">
      <w:t xml:space="preserve">    </w:t>
    </w:r>
    <w:r w:rsidRPr="00C0592A">
      <w:rPr>
        <w:noProof/>
        <w:lang w:eastAsia="en-GB"/>
      </w:rPr>
      <w:drawing>
        <wp:inline distT="0" distB="0" distL="0" distR="0" wp14:anchorId="6C29B275" wp14:editId="16B01F4D">
          <wp:extent cx="1045521" cy="372269"/>
          <wp:effectExtent l="0" t="0" r="2540" b="8890"/>
          <wp:docPr id="10" name="Picture 1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C0592A">
      <w:tab/>
      <w:t xml:space="preserve">© </w:t>
    </w:r>
    <w:r w:rsidR="000448DB">
      <w:t xml:space="preserve">Mollie Gilchrist and </w:t>
    </w:r>
    <w:r w:rsidR="008C2139">
      <w:t>Peter Samuels</w:t>
    </w:r>
    <w:r w:rsidR="008C2139">
      <w:tab/>
      <w:t>Reviewer: Ellen Marshall</w:t>
    </w:r>
  </w:p>
  <w:p w:rsidR="0083698C" w:rsidRDefault="000734E8" w:rsidP="00A76DB3">
    <w:pPr>
      <w:pStyle w:val="Footer"/>
      <w:tabs>
        <w:tab w:val="clear" w:pos="4513"/>
        <w:tab w:val="clear" w:pos="9026"/>
        <w:tab w:val="center" w:pos="4678"/>
        <w:tab w:val="right" w:pos="9639"/>
      </w:tabs>
      <w:spacing w:line="240" w:lineRule="auto"/>
    </w:pPr>
    <w:r>
      <w:t xml:space="preserve">  </w:t>
    </w:r>
    <w:r w:rsidR="0083698C" w:rsidRPr="00C0592A">
      <w:t>www.statstutor.ac.uk</w:t>
    </w:r>
    <w:r w:rsidR="0083698C" w:rsidRPr="00C0592A">
      <w:tab/>
    </w:r>
    <w:r w:rsidR="008C2139">
      <w:t>Birmingham City University</w:t>
    </w:r>
    <w:r w:rsidR="0083698C" w:rsidRPr="00C0592A">
      <w:tab/>
    </w:r>
    <w:r w:rsidR="008C2139">
      <w:t>University of Sheffield</w:t>
    </w:r>
  </w:p>
  <w:p w:rsidR="005F7EC1" w:rsidRPr="005F7EC1" w:rsidRDefault="005F7EC1" w:rsidP="005F7EC1">
    <w:pPr>
      <w:pStyle w:val="Footer"/>
      <w:spacing w:before="120"/>
      <w:jc w:val="center"/>
      <w:rPr>
        <w:sz w:val="20"/>
      </w:rPr>
    </w:pPr>
    <w:r w:rsidRPr="00F51D3F">
      <w:rPr>
        <w:sz w:val="20"/>
      </w:rPr>
      <w:t>Based on material provided by Loughborough University Mathematics Learning Support Centre and Coventry University Mathematics Support Centre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AE9" w:rsidRDefault="001E3AE9" w:rsidP="00A76DB3">
      <w:r>
        <w:separator/>
      </w:r>
    </w:p>
    <w:p w:rsidR="001E3AE9" w:rsidRDefault="001E3AE9" w:rsidP="00A76DB3"/>
    <w:p w:rsidR="001E3AE9" w:rsidRDefault="001E3AE9" w:rsidP="00A76DB3"/>
  </w:footnote>
  <w:footnote w:type="continuationSeparator" w:id="0">
    <w:p w:rsidR="001E3AE9" w:rsidRDefault="001E3AE9" w:rsidP="00A76DB3">
      <w:r>
        <w:continuationSeparator/>
      </w:r>
    </w:p>
    <w:p w:rsidR="001E3AE9" w:rsidRDefault="001E3AE9" w:rsidP="00A76DB3"/>
    <w:p w:rsidR="001E3AE9" w:rsidRDefault="001E3AE9"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98C" w:rsidRPr="00C0592A" w:rsidRDefault="00C5714F" w:rsidP="00C25E71">
    <w:pPr>
      <w:pStyle w:val="Header"/>
      <w:tabs>
        <w:tab w:val="clear" w:pos="9026"/>
        <w:tab w:val="right" w:pos="9639"/>
      </w:tabs>
      <w:spacing w:line="240" w:lineRule="auto"/>
    </w:pPr>
    <w:r w:rsidRPr="00C5714F">
      <w:t>Statistical Hypothesis Testing</w:t>
    </w:r>
    <w:r w:rsidR="0083698C" w:rsidRPr="00C0592A">
      <w:tab/>
    </w:r>
    <w:r w:rsidR="0083698C" w:rsidRPr="00C0592A">
      <w:tab/>
    </w:r>
    <w:sdt>
      <w:sdtPr>
        <w:id w:val="836506043"/>
        <w:docPartObj>
          <w:docPartGallery w:val="Page Numbers (Top of Page)"/>
          <w:docPartUnique/>
        </w:docPartObj>
      </w:sdtPr>
      <w:sdtEndPr/>
      <w:sdtContent>
        <w:r w:rsidR="0083698C" w:rsidRPr="00C0592A">
          <w:t xml:space="preserve">Page </w:t>
        </w:r>
        <w:r w:rsidR="0083698C" w:rsidRPr="00C0592A">
          <w:rPr>
            <w:sz w:val="24"/>
          </w:rPr>
          <w:fldChar w:fldCharType="begin"/>
        </w:r>
        <w:r w:rsidR="0083698C" w:rsidRPr="00C0592A">
          <w:instrText xml:space="preserve"> PAGE </w:instrText>
        </w:r>
        <w:r w:rsidR="0083698C" w:rsidRPr="00C0592A">
          <w:rPr>
            <w:sz w:val="24"/>
          </w:rPr>
          <w:fldChar w:fldCharType="separate"/>
        </w:r>
        <w:r w:rsidR="00534B56">
          <w:rPr>
            <w:noProof/>
          </w:rPr>
          <w:t>3</w:t>
        </w:r>
        <w:r w:rsidR="0083698C" w:rsidRPr="00C0592A">
          <w:rPr>
            <w:sz w:val="24"/>
          </w:rPr>
          <w:fldChar w:fldCharType="end"/>
        </w:r>
        <w:r w:rsidR="0083698C" w:rsidRPr="00C0592A">
          <w:t xml:space="preserve"> of </w:t>
        </w:r>
        <w:r w:rsidR="001E3AE9">
          <w:fldChar w:fldCharType="begin"/>
        </w:r>
        <w:r w:rsidR="001E3AE9">
          <w:instrText xml:space="preserve"> NUMPAGES  </w:instrText>
        </w:r>
        <w:r w:rsidR="001E3AE9">
          <w:fldChar w:fldCharType="separate"/>
        </w:r>
        <w:r w:rsidR="00534B56">
          <w:rPr>
            <w:noProof/>
          </w:rPr>
          <w:t>3</w:t>
        </w:r>
        <w:r w:rsidR="001E3AE9">
          <w:rPr>
            <w:noProof/>
          </w:rPr>
          <w:fldChar w:fldCharType="end"/>
        </w:r>
      </w:sdtContent>
    </w:sdt>
  </w:p>
  <w:p w:rsidR="00662373" w:rsidRDefault="00662373" w:rsidP="00C25E71">
    <w:pPr>
      <w:spacing w:after="0" w:line="240" w:lineRule="auto"/>
    </w:pPr>
  </w:p>
  <w:p w:rsidR="00662373" w:rsidRDefault="00662373" w:rsidP="00C25E71">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87" w:rsidRPr="00E70653" w:rsidRDefault="002C1C87" w:rsidP="00A76DB3">
    <w:pPr>
      <w:pStyle w:val="Header"/>
      <w:spacing w:line="240" w:lineRule="auto"/>
      <w:jc w:val="center"/>
      <w:rPr>
        <w:rStyle w:val="CP3Char"/>
      </w:rPr>
    </w:pPr>
    <w:r>
      <w:rPr>
        <w:noProof/>
        <w:lang w:eastAsia="en-GB"/>
      </w:rPr>
      <w:drawing>
        <wp:inline distT="0" distB="0" distL="0" distR="0" wp14:anchorId="6C85A2EE" wp14:editId="5DC86724">
          <wp:extent cx="2638425" cy="1076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2C1C87" w:rsidRPr="00C0592A" w:rsidRDefault="002C1C87" w:rsidP="00A76DB3">
    <w:pPr>
      <w:pStyle w:val="CP1"/>
    </w:pPr>
    <w:proofErr w:type="gramStart"/>
    <w:r w:rsidRPr="00C0592A">
      <w:t>community</w:t>
    </w:r>
    <w:proofErr w:type="gramEnd"/>
    <w:r w:rsidRPr="00C0592A">
      <w:t xml:space="preserve"> project</w:t>
    </w:r>
  </w:p>
  <w:p w:rsidR="002C1C87" w:rsidRPr="00C0592A" w:rsidRDefault="002C1C87" w:rsidP="00A76DB3">
    <w:pPr>
      <w:pStyle w:val="CP2"/>
    </w:pPr>
    <w:proofErr w:type="gramStart"/>
    <w:r w:rsidRPr="00C0592A">
      <w:t>encouraging</w:t>
    </w:r>
    <w:proofErr w:type="gramEnd"/>
    <w:r w:rsidRPr="00C0592A">
      <w:t xml:space="preserve"> academics to share statistics support resources</w:t>
    </w:r>
  </w:p>
  <w:p w:rsidR="002C1C87" w:rsidRPr="00C0592A" w:rsidRDefault="002C1C87"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rsidR="002C1C87" w:rsidRPr="00C0592A" w:rsidRDefault="002C1C87"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2">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602817C1"/>
    <w:multiLevelType w:val="hybridMultilevel"/>
    <w:tmpl w:val="685E5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4F234C0"/>
    <w:multiLevelType w:val="hybridMultilevel"/>
    <w:tmpl w:val="BA9EF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C87"/>
    <w:rsid w:val="000448DB"/>
    <w:rsid w:val="000734E8"/>
    <w:rsid w:val="000A1826"/>
    <w:rsid w:val="001971FD"/>
    <w:rsid w:val="001A5027"/>
    <w:rsid w:val="001E3AE9"/>
    <w:rsid w:val="00263B13"/>
    <w:rsid w:val="00280C4F"/>
    <w:rsid w:val="002C1C87"/>
    <w:rsid w:val="003E4ECE"/>
    <w:rsid w:val="003E55AA"/>
    <w:rsid w:val="004B0D36"/>
    <w:rsid w:val="00534B56"/>
    <w:rsid w:val="005F7EC1"/>
    <w:rsid w:val="00606B7F"/>
    <w:rsid w:val="00662373"/>
    <w:rsid w:val="00722D20"/>
    <w:rsid w:val="00737A95"/>
    <w:rsid w:val="0079077D"/>
    <w:rsid w:val="00814897"/>
    <w:rsid w:val="0083698C"/>
    <w:rsid w:val="008C2139"/>
    <w:rsid w:val="00A04B12"/>
    <w:rsid w:val="00A058A5"/>
    <w:rsid w:val="00A76DB3"/>
    <w:rsid w:val="00A81CE4"/>
    <w:rsid w:val="00A82EB4"/>
    <w:rsid w:val="00AC6F0B"/>
    <w:rsid w:val="00AE095C"/>
    <w:rsid w:val="00BA65F1"/>
    <w:rsid w:val="00C0592A"/>
    <w:rsid w:val="00C25E71"/>
    <w:rsid w:val="00C5714F"/>
    <w:rsid w:val="00C640F4"/>
    <w:rsid w:val="00D93A12"/>
    <w:rsid w:val="00D96971"/>
    <w:rsid w:val="00E70653"/>
    <w:rsid w:val="00E84CB0"/>
    <w:rsid w:val="00EB6CB3"/>
    <w:rsid w:val="00EC2C13"/>
    <w:rsid w:val="00FC4A8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9BD55A-3C32-4D38-A291-70F09DB8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DB3"/>
    <w:pPr>
      <w:spacing w:after="120" w:line="264" w:lineRule="auto"/>
    </w:pPr>
    <w:rPr>
      <w:rFonts w:ascii="Arial" w:hAnsi="Arial" w:cs="Arial"/>
      <w:szCs w:val="24"/>
    </w:rPr>
  </w:style>
  <w:style w:type="paragraph" w:styleId="Heading2">
    <w:name w:val="heading 2"/>
    <w:basedOn w:val="Normal"/>
    <w:next w:val="Normal"/>
    <w:link w:val="Heading2Char"/>
    <w:uiPriority w:val="9"/>
    <w:unhideWhenUsed/>
    <w:qFormat/>
    <w:rsid w:val="000448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0">
    <w:name w:val="Heading2"/>
    <w:basedOn w:val="Normal"/>
    <w:link w:val="Heading2Char0"/>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0">
    <w:name w:val="Heading2 Char"/>
    <w:basedOn w:val="DefaultParagraphFont"/>
    <w:link w:val="Heading20"/>
    <w:rsid w:val="00E70653"/>
    <w:rPr>
      <w:rFonts w:ascii="Arial" w:hAnsi="Arial" w:cs="Arial"/>
      <w:b/>
      <w:bCs/>
      <w:sz w:val="24"/>
      <w:szCs w:val="24"/>
    </w:rPr>
  </w:style>
  <w:style w:type="paragraph" w:customStyle="1" w:styleId="Heading3">
    <w:name w:val="Heading3"/>
    <w:basedOn w:val="Heading20"/>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0"/>
    <w:link w:val="Heading3"/>
    <w:rsid w:val="00E70653"/>
    <w:rPr>
      <w:rFonts w:ascii="Arial" w:hAnsi="Arial" w:cs="Arial"/>
      <w:b/>
      <w:bCs/>
      <w:sz w:val="24"/>
      <w:szCs w:val="24"/>
    </w:rPr>
  </w:style>
  <w:style w:type="paragraph" w:styleId="ListParagraph">
    <w:name w:val="List Paragraph"/>
    <w:basedOn w:val="Normal"/>
    <w:qFormat/>
    <w:rsid w:val="00EC2C13"/>
    <w:pPr>
      <w:numPr>
        <w:numId w:val="1"/>
      </w:numPr>
      <w:ind w:left="709" w:hanging="283"/>
      <w:contextualSpacing/>
    </w:pPr>
  </w:style>
  <w:style w:type="character" w:styleId="Hyperlink">
    <w:name w:val="Hyperlink"/>
    <w:rsid w:val="000448DB"/>
    <w:rPr>
      <w:color w:val="0000FF"/>
      <w:u w:val="single"/>
    </w:rPr>
  </w:style>
  <w:style w:type="paragraph" w:customStyle="1" w:styleId="WW-Default">
    <w:name w:val="WW-Default"/>
    <w:rsid w:val="000448DB"/>
    <w:pPr>
      <w:suppressAutoHyphens/>
      <w:autoSpaceDE w:val="0"/>
      <w:spacing w:after="0" w:line="240" w:lineRule="auto"/>
    </w:pPr>
    <w:rPr>
      <w:rFonts w:ascii="Arial" w:eastAsia="Calibri" w:hAnsi="Arial" w:cs="Arial"/>
      <w:color w:val="000000"/>
      <w:sz w:val="24"/>
      <w:szCs w:val="24"/>
    </w:rPr>
  </w:style>
  <w:style w:type="paragraph" w:styleId="NormalWeb">
    <w:name w:val="Normal (Web)"/>
    <w:basedOn w:val="Normal"/>
    <w:rsid w:val="000448DB"/>
    <w:pPr>
      <w:suppressAutoHyphens/>
      <w:spacing w:before="280" w:after="280" w:line="240" w:lineRule="auto"/>
    </w:pPr>
    <w:rPr>
      <w:rFonts w:ascii="Times New Roman" w:eastAsia="Times New Roman" w:hAnsi="Times New Roman" w:cs="Times New Roman"/>
      <w:sz w:val="24"/>
    </w:rPr>
  </w:style>
  <w:style w:type="character" w:customStyle="1" w:styleId="Heading2Char">
    <w:name w:val="Heading 2 Char"/>
    <w:basedOn w:val="DefaultParagraphFont"/>
    <w:link w:val="Heading2"/>
    <w:uiPriority w:val="9"/>
    <w:rsid w:val="000448D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Janette Matthews;Peter Samuels</dc:creator>
  <cp:lastModifiedBy>Peter Samuels</cp:lastModifiedBy>
  <cp:revision>5</cp:revision>
  <cp:lastPrinted>2016-04-13T10:52:00Z</cp:lastPrinted>
  <dcterms:created xsi:type="dcterms:W3CDTF">2016-04-13T10:46:00Z</dcterms:created>
  <dcterms:modified xsi:type="dcterms:W3CDTF">2016-04-13T10:52:00Z</dcterms:modified>
</cp:coreProperties>
</file>