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0D36" w:rsidRPr="00E70653" w:rsidRDefault="00A82EB4" w:rsidP="00A76DB3">
      <w:pPr>
        <w:pStyle w:val="Ref"/>
      </w:pPr>
      <w:r w:rsidRPr="00E70653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DAE196" wp14:editId="690D258F">
                <wp:simplePos x="0" y="0"/>
                <wp:positionH relativeFrom="column">
                  <wp:posOffset>693073</wp:posOffset>
                </wp:positionH>
                <wp:positionV relativeFrom="paragraph">
                  <wp:posOffset>238638</wp:posOffset>
                </wp:positionV>
                <wp:extent cx="5411843" cy="523213"/>
                <wp:effectExtent l="0" t="0" r="17780" b="1079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1843" cy="52321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82EB4" w:rsidRPr="00A82EB4" w:rsidRDefault="00A82EB4" w:rsidP="00107297">
                            <w:pPr>
                              <w:jc w:val="center"/>
                            </w:pPr>
                            <w:r w:rsidRPr="00A82EB4">
                              <w:t>The following resources are associated:</w:t>
                            </w:r>
                          </w:p>
                          <w:p w:rsidR="00357660" w:rsidRDefault="00107297" w:rsidP="00107297">
                            <w:pPr>
                              <w:jc w:val="center"/>
                            </w:pPr>
                            <w:r>
                              <w:t xml:space="preserve">One-Way ANOVA – </w:t>
                            </w:r>
                            <w:r w:rsidR="00357660">
                              <w:t>A</w:t>
                            </w:r>
                            <w:r>
                              <w:t xml:space="preserve">dditional </w:t>
                            </w:r>
                            <w:r w:rsidR="00357660">
                              <w:t>M</w:t>
                            </w:r>
                            <w:r>
                              <w:t>aterial worksheet</w:t>
                            </w:r>
                            <w:r w:rsidR="00357660">
                              <w:t xml:space="preserve"> and Normality Testing worksheet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DAE19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4.55pt;margin-top:18.8pt;width:426.15pt;height:4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" filled="f" strokecolor="#d8d8d8 [2732]" strokeweight="2pt">
                <v:textbox>
                  <w:txbxContent>
                    <w:p w:rsidR="00A82EB4" w:rsidRPr="00A82EB4" w:rsidRDefault="00A82EB4" w:rsidP="00107297">
                      <w:pPr>
                        <w:jc w:val="center"/>
                      </w:pPr>
                      <w:r w:rsidRPr="00A82EB4">
                        <w:t>The following resources are associated:</w:t>
                      </w:r>
                    </w:p>
                    <w:p w:rsidR="00357660" w:rsidRDefault="00107297" w:rsidP="00107297">
                      <w:pPr>
                        <w:jc w:val="center"/>
                      </w:pPr>
                      <w:r>
                        <w:t xml:space="preserve">One-Way ANOVA – </w:t>
                      </w:r>
                      <w:r w:rsidR="00357660">
                        <w:t>A</w:t>
                      </w:r>
                      <w:r>
                        <w:t xml:space="preserve">dditional </w:t>
                      </w:r>
                      <w:r w:rsidR="00357660">
                        <w:t>M</w:t>
                      </w:r>
                      <w:r>
                        <w:t>aterial worksheet</w:t>
                      </w:r>
                      <w:r w:rsidR="00357660">
                        <w:t xml:space="preserve"> and Normality Testing worksheet</w:t>
                      </w:r>
                    </w:p>
                  </w:txbxContent>
                </v:textbox>
              </v:shape>
            </w:pict>
          </mc:Fallback>
        </mc:AlternateContent>
      </w:r>
      <w:r w:rsidR="00107297" w:rsidRPr="00107297">
        <w:t xml:space="preserve"> </w:t>
      </w:r>
      <w:r w:rsidR="00107297">
        <w:t>stcp-gilchristsamuels-</w:t>
      </w:r>
      <w:r w:rsidR="00107297" w:rsidRPr="00107297">
        <w:t>9</w:t>
      </w:r>
    </w:p>
    <w:p w:rsidR="00A82EB4" w:rsidRPr="001A5027" w:rsidRDefault="00A82EB4" w:rsidP="00A76DB3"/>
    <w:p w:rsidR="00A82EB4" w:rsidRDefault="00A82EB4" w:rsidP="00A76DB3"/>
    <w:p w:rsidR="00E70653" w:rsidRDefault="00E70653" w:rsidP="00107297">
      <w:pPr>
        <w:spacing w:after="0"/>
      </w:pPr>
    </w:p>
    <w:p w:rsidR="00107297" w:rsidRPr="00107297" w:rsidRDefault="00107297" w:rsidP="00107297">
      <w:pPr>
        <w:pStyle w:val="Title2"/>
      </w:pPr>
      <w:r w:rsidRPr="00107297">
        <w:t>One-Way Analysis of Variance (ANOVA)</w:t>
      </w:r>
    </w:p>
    <w:p w:rsidR="00107297" w:rsidRPr="00107297" w:rsidRDefault="00107297" w:rsidP="00107297">
      <w:pPr>
        <w:pStyle w:val="Heading2"/>
        <w:rPr>
          <w:b w:val="0"/>
        </w:rPr>
      </w:pPr>
      <w:r w:rsidRPr="0075018E">
        <w:rPr>
          <w:sz w:val="28"/>
          <w:szCs w:val="28"/>
        </w:rPr>
        <w:t>Research question type:</w:t>
      </w:r>
      <w:r w:rsidRPr="0075018E">
        <w:t xml:space="preserve"> </w:t>
      </w:r>
      <w:r w:rsidRPr="00107297">
        <w:rPr>
          <w:b w:val="0"/>
        </w:rPr>
        <w:t>Differences between several groups of measurements</w:t>
      </w:r>
    </w:p>
    <w:p w:rsidR="00107297" w:rsidRPr="00107297" w:rsidRDefault="00107297" w:rsidP="00107297">
      <w:pPr>
        <w:pStyle w:val="Heading2"/>
        <w:rPr>
          <w:b w:val="0"/>
        </w:rPr>
      </w:pPr>
      <w:r w:rsidRPr="0075018E">
        <w:rPr>
          <w:sz w:val="28"/>
          <w:szCs w:val="28"/>
        </w:rPr>
        <w:t>What kind of variables:</w:t>
      </w:r>
      <w:r w:rsidRPr="0075018E">
        <w:t xml:space="preserve"> </w:t>
      </w:r>
      <w:r w:rsidRPr="00107297">
        <w:rPr>
          <w:b w:val="0"/>
        </w:rPr>
        <w:t>Continuous (scale/interval/ratio)</w:t>
      </w:r>
    </w:p>
    <w:p w:rsidR="00107297" w:rsidRPr="00107297" w:rsidRDefault="00107297" w:rsidP="00107297">
      <w:pPr>
        <w:pStyle w:val="Heading2"/>
        <w:rPr>
          <w:b w:val="0"/>
        </w:rPr>
      </w:pPr>
      <w:r w:rsidRPr="0075018E">
        <w:rPr>
          <w:sz w:val="28"/>
          <w:szCs w:val="28"/>
        </w:rPr>
        <w:t>Common Applications:</w:t>
      </w:r>
      <w:r w:rsidRPr="0075018E">
        <w:t xml:space="preserve"> </w:t>
      </w:r>
      <w:r w:rsidRPr="00107297">
        <w:rPr>
          <w:b w:val="0"/>
        </w:rPr>
        <w:t>Comparing the means of different groups in scientific or medical experiments when treatments, processes, materials</w:t>
      </w:r>
      <w:r>
        <w:rPr>
          <w:b w:val="0"/>
        </w:rPr>
        <w:t xml:space="preserve"> or products are being compared</w:t>
      </w:r>
    </w:p>
    <w:p w:rsidR="00107297" w:rsidRPr="0075018E" w:rsidRDefault="00107297" w:rsidP="00107297">
      <w:pPr>
        <w:pStyle w:val="Heading1"/>
      </w:pPr>
      <w:r w:rsidRPr="0075018E">
        <w:t>Example:</w:t>
      </w:r>
      <w:r>
        <w:t xml:space="preserve"> Grocery Bags</w:t>
      </w:r>
      <w:r w:rsidRPr="0075018E">
        <w:rPr>
          <w:vertAlign w:val="superscript"/>
        </w:rPr>
        <w:t>1</w:t>
      </w:r>
    </w:p>
    <w:p w:rsidR="00107297" w:rsidRPr="0075018E" w:rsidRDefault="00107297" w:rsidP="00107297">
      <w:pPr>
        <w:autoSpaceDE w:val="0"/>
        <w:autoSpaceDN w:val="0"/>
        <w:adjustRightInd w:val="0"/>
      </w:pPr>
      <w:r w:rsidRPr="0075018E">
        <w:t>A paper manufacturer makes grocery bags. They are interested in increasing the tensile strength of their product. It is thought that strength is a function of the hardwood concentration in the pulp.</w:t>
      </w:r>
    </w:p>
    <w:p w:rsidR="00107297" w:rsidRPr="0075018E" w:rsidRDefault="00107297" w:rsidP="00107297">
      <w:pPr>
        <w:autoSpaceDE w:val="0"/>
        <w:autoSpaceDN w:val="0"/>
        <w:adjustRightInd w:val="0"/>
      </w:pPr>
      <w:r w:rsidRPr="0075018E">
        <w:t xml:space="preserve">An investigation is carried out to compare four levels of hardwood concentration: 5%, 10%, 15% and 20%. Six test specimens </w:t>
      </w:r>
      <w:r>
        <w:t>we</w:t>
      </w:r>
      <w:r w:rsidRPr="0075018E">
        <w:t xml:space="preserve">re made at each level and all 24 specimens </w:t>
      </w:r>
      <w:r>
        <w:t>we</w:t>
      </w:r>
      <w:r w:rsidRPr="0075018E">
        <w:t>re then tested in random order. The results are shown below:</w:t>
      </w:r>
    </w:p>
    <w:tbl>
      <w:tblPr>
        <w:tblStyle w:val="TableGrid"/>
        <w:tblW w:w="8301" w:type="dxa"/>
        <w:tblInd w:w="397" w:type="dxa"/>
        <w:tblLook w:val="04A0" w:firstRow="1" w:lastRow="0" w:firstColumn="1" w:lastColumn="0" w:noHBand="0" w:noVBand="1"/>
      </w:tblPr>
      <w:tblGrid>
        <w:gridCol w:w="1964"/>
        <w:gridCol w:w="562"/>
        <w:gridCol w:w="561"/>
        <w:gridCol w:w="561"/>
        <w:gridCol w:w="561"/>
        <w:gridCol w:w="561"/>
        <w:gridCol w:w="561"/>
        <w:gridCol w:w="815"/>
        <w:gridCol w:w="1187"/>
        <w:gridCol w:w="968"/>
      </w:tblGrid>
      <w:tr w:rsidR="00107297" w:rsidRPr="006249AE" w:rsidTr="00107297">
        <w:tc>
          <w:tcPr>
            <w:tcW w:w="1964" w:type="dxa"/>
            <w:tcBorders>
              <w:bottom w:val="single" w:sz="4" w:space="0" w:color="000000" w:themeColor="text1"/>
            </w:tcBorders>
            <w:vAlign w:val="center"/>
          </w:tcPr>
          <w:p w:rsidR="00107297" w:rsidRPr="006249AE" w:rsidRDefault="00107297" w:rsidP="0010729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2"/>
              </w:rPr>
            </w:pPr>
            <w:r w:rsidRPr="006249AE">
              <w:rPr>
                <w:sz w:val="22"/>
              </w:rPr>
              <w:t>Hardwood concentration (%)</w:t>
            </w:r>
          </w:p>
        </w:tc>
        <w:tc>
          <w:tcPr>
            <w:tcW w:w="3367" w:type="dxa"/>
            <w:gridSpan w:val="6"/>
            <w:tcBorders>
              <w:bottom w:val="single" w:sz="4" w:space="0" w:color="000000" w:themeColor="text1"/>
            </w:tcBorders>
            <w:vAlign w:val="center"/>
          </w:tcPr>
          <w:p w:rsidR="00107297" w:rsidRPr="006249AE" w:rsidRDefault="00107297" w:rsidP="0010729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2"/>
              </w:rPr>
            </w:pPr>
            <w:r w:rsidRPr="006249AE">
              <w:rPr>
                <w:sz w:val="22"/>
              </w:rPr>
              <w:t>Tensile strength (PSI)</w:t>
            </w:r>
          </w:p>
        </w:tc>
        <w:tc>
          <w:tcPr>
            <w:tcW w:w="815" w:type="dxa"/>
            <w:tcBorders>
              <w:bottom w:val="single" w:sz="4" w:space="0" w:color="000000" w:themeColor="text1"/>
              <w:right w:val="nil"/>
            </w:tcBorders>
            <w:vAlign w:val="center"/>
          </w:tcPr>
          <w:p w:rsidR="00107297" w:rsidRPr="006249AE" w:rsidRDefault="00107297" w:rsidP="0010729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2"/>
              </w:rPr>
            </w:pPr>
            <w:r w:rsidRPr="006249AE">
              <w:rPr>
                <w:sz w:val="22"/>
              </w:rPr>
              <w:t>Mean</w:t>
            </w:r>
          </w:p>
        </w:tc>
        <w:tc>
          <w:tcPr>
            <w:tcW w:w="1187" w:type="dxa"/>
            <w:tcBorders>
              <w:left w:val="nil"/>
              <w:bottom w:val="single" w:sz="4" w:space="0" w:color="000000" w:themeColor="text1"/>
            </w:tcBorders>
            <w:vAlign w:val="center"/>
          </w:tcPr>
          <w:p w:rsidR="00107297" w:rsidRPr="006249AE" w:rsidRDefault="00107297" w:rsidP="0010729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2"/>
              </w:rPr>
            </w:pPr>
            <w:r w:rsidRPr="006249AE">
              <w:rPr>
                <w:sz w:val="22"/>
              </w:rPr>
              <w:t>Standard deviation</w:t>
            </w:r>
          </w:p>
        </w:tc>
        <w:tc>
          <w:tcPr>
            <w:tcW w:w="968" w:type="dxa"/>
            <w:tcBorders>
              <w:left w:val="nil"/>
              <w:bottom w:val="single" w:sz="4" w:space="0" w:color="000000" w:themeColor="text1"/>
            </w:tcBorders>
            <w:vAlign w:val="center"/>
          </w:tcPr>
          <w:p w:rsidR="00107297" w:rsidRPr="006249AE" w:rsidRDefault="00107297" w:rsidP="0010729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2"/>
              </w:rPr>
            </w:pPr>
            <w:r w:rsidRPr="006249AE">
              <w:rPr>
                <w:sz w:val="22"/>
              </w:rPr>
              <w:t>Median</w:t>
            </w:r>
          </w:p>
        </w:tc>
      </w:tr>
      <w:tr w:rsidR="00107297" w:rsidRPr="006249AE" w:rsidTr="00107297">
        <w:tc>
          <w:tcPr>
            <w:tcW w:w="1964" w:type="dxa"/>
            <w:tcBorders>
              <w:bottom w:val="nil"/>
            </w:tcBorders>
            <w:vAlign w:val="center"/>
          </w:tcPr>
          <w:p w:rsidR="00107297" w:rsidRPr="006249AE" w:rsidRDefault="00107297" w:rsidP="0010729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2"/>
              </w:rPr>
            </w:pPr>
            <w:r w:rsidRPr="006249AE">
              <w:rPr>
                <w:sz w:val="22"/>
              </w:rPr>
              <w:t>5</w:t>
            </w:r>
          </w:p>
        </w:tc>
        <w:tc>
          <w:tcPr>
            <w:tcW w:w="562" w:type="dxa"/>
            <w:tcBorders>
              <w:bottom w:val="nil"/>
              <w:right w:val="nil"/>
            </w:tcBorders>
            <w:vAlign w:val="center"/>
          </w:tcPr>
          <w:p w:rsidR="00107297" w:rsidRPr="006249AE" w:rsidRDefault="00107297" w:rsidP="0010729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2"/>
              </w:rPr>
            </w:pPr>
            <w:r w:rsidRPr="006249AE">
              <w:rPr>
                <w:sz w:val="22"/>
              </w:rPr>
              <w:t>7</w:t>
            </w:r>
          </w:p>
        </w:tc>
        <w:tc>
          <w:tcPr>
            <w:tcW w:w="561" w:type="dxa"/>
            <w:tcBorders>
              <w:left w:val="nil"/>
              <w:bottom w:val="nil"/>
              <w:right w:val="nil"/>
            </w:tcBorders>
            <w:vAlign w:val="center"/>
          </w:tcPr>
          <w:p w:rsidR="00107297" w:rsidRPr="006249AE" w:rsidRDefault="00107297" w:rsidP="0010729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2"/>
              </w:rPr>
            </w:pPr>
            <w:r w:rsidRPr="006249AE">
              <w:rPr>
                <w:sz w:val="22"/>
              </w:rPr>
              <w:t>8</w:t>
            </w:r>
          </w:p>
        </w:tc>
        <w:tc>
          <w:tcPr>
            <w:tcW w:w="561" w:type="dxa"/>
            <w:tcBorders>
              <w:left w:val="nil"/>
              <w:bottom w:val="nil"/>
              <w:right w:val="nil"/>
            </w:tcBorders>
            <w:vAlign w:val="center"/>
          </w:tcPr>
          <w:p w:rsidR="00107297" w:rsidRPr="006249AE" w:rsidRDefault="00107297" w:rsidP="0010729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2"/>
              </w:rPr>
            </w:pPr>
            <w:r w:rsidRPr="006249AE">
              <w:rPr>
                <w:sz w:val="22"/>
              </w:rPr>
              <w:t>15</w:t>
            </w:r>
          </w:p>
        </w:tc>
        <w:tc>
          <w:tcPr>
            <w:tcW w:w="561" w:type="dxa"/>
            <w:tcBorders>
              <w:left w:val="nil"/>
              <w:bottom w:val="nil"/>
              <w:right w:val="nil"/>
            </w:tcBorders>
            <w:vAlign w:val="center"/>
          </w:tcPr>
          <w:p w:rsidR="00107297" w:rsidRPr="006249AE" w:rsidRDefault="00107297" w:rsidP="0010729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2"/>
              </w:rPr>
            </w:pPr>
            <w:r w:rsidRPr="006249AE">
              <w:rPr>
                <w:sz w:val="22"/>
              </w:rPr>
              <w:t>11</w:t>
            </w:r>
          </w:p>
        </w:tc>
        <w:tc>
          <w:tcPr>
            <w:tcW w:w="561" w:type="dxa"/>
            <w:tcBorders>
              <w:left w:val="nil"/>
              <w:bottom w:val="nil"/>
              <w:right w:val="nil"/>
            </w:tcBorders>
            <w:vAlign w:val="center"/>
          </w:tcPr>
          <w:p w:rsidR="00107297" w:rsidRPr="006249AE" w:rsidRDefault="00107297" w:rsidP="0010729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2"/>
              </w:rPr>
            </w:pPr>
            <w:r w:rsidRPr="006249AE">
              <w:rPr>
                <w:sz w:val="22"/>
              </w:rPr>
              <w:t>9</w:t>
            </w:r>
          </w:p>
        </w:tc>
        <w:tc>
          <w:tcPr>
            <w:tcW w:w="561" w:type="dxa"/>
            <w:tcBorders>
              <w:left w:val="nil"/>
              <w:bottom w:val="nil"/>
            </w:tcBorders>
            <w:vAlign w:val="center"/>
          </w:tcPr>
          <w:p w:rsidR="00107297" w:rsidRPr="006249AE" w:rsidRDefault="00107297" w:rsidP="0010729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2"/>
              </w:rPr>
            </w:pPr>
            <w:r w:rsidRPr="006249AE">
              <w:rPr>
                <w:sz w:val="22"/>
              </w:rPr>
              <w:t>10</w:t>
            </w:r>
          </w:p>
        </w:tc>
        <w:tc>
          <w:tcPr>
            <w:tcW w:w="815" w:type="dxa"/>
            <w:tcBorders>
              <w:bottom w:val="nil"/>
              <w:right w:val="nil"/>
            </w:tcBorders>
            <w:vAlign w:val="center"/>
          </w:tcPr>
          <w:p w:rsidR="00107297" w:rsidRPr="006249AE" w:rsidRDefault="00107297" w:rsidP="0010729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2"/>
              </w:rPr>
            </w:pPr>
            <w:r w:rsidRPr="006249AE">
              <w:rPr>
                <w:sz w:val="22"/>
              </w:rPr>
              <w:t>10.00</w:t>
            </w:r>
          </w:p>
        </w:tc>
        <w:tc>
          <w:tcPr>
            <w:tcW w:w="1187" w:type="dxa"/>
            <w:tcBorders>
              <w:left w:val="nil"/>
              <w:bottom w:val="nil"/>
            </w:tcBorders>
            <w:vAlign w:val="center"/>
          </w:tcPr>
          <w:p w:rsidR="00107297" w:rsidRPr="006249AE" w:rsidRDefault="00107297" w:rsidP="0010729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2"/>
              </w:rPr>
            </w:pPr>
            <w:r w:rsidRPr="006249AE">
              <w:rPr>
                <w:sz w:val="22"/>
              </w:rPr>
              <w:t>2.83</w:t>
            </w:r>
          </w:p>
        </w:tc>
        <w:tc>
          <w:tcPr>
            <w:tcW w:w="968" w:type="dxa"/>
            <w:tcBorders>
              <w:left w:val="nil"/>
              <w:bottom w:val="nil"/>
            </w:tcBorders>
          </w:tcPr>
          <w:p w:rsidR="00107297" w:rsidRPr="006249AE" w:rsidRDefault="00107297" w:rsidP="0010729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2"/>
              </w:rPr>
            </w:pPr>
            <w:r w:rsidRPr="006249AE">
              <w:rPr>
                <w:sz w:val="22"/>
              </w:rPr>
              <w:t>9.50</w:t>
            </w:r>
          </w:p>
        </w:tc>
      </w:tr>
      <w:tr w:rsidR="00107297" w:rsidRPr="006249AE" w:rsidTr="00107297">
        <w:tc>
          <w:tcPr>
            <w:tcW w:w="1964" w:type="dxa"/>
            <w:tcBorders>
              <w:top w:val="nil"/>
              <w:bottom w:val="nil"/>
            </w:tcBorders>
            <w:vAlign w:val="center"/>
          </w:tcPr>
          <w:p w:rsidR="00107297" w:rsidRPr="006249AE" w:rsidRDefault="00107297" w:rsidP="0010729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2"/>
              </w:rPr>
            </w:pPr>
            <w:r w:rsidRPr="006249AE">
              <w:rPr>
                <w:sz w:val="22"/>
              </w:rPr>
              <w:t>10</w:t>
            </w:r>
          </w:p>
        </w:tc>
        <w:tc>
          <w:tcPr>
            <w:tcW w:w="562" w:type="dxa"/>
            <w:tcBorders>
              <w:top w:val="nil"/>
              <w:bottom w:val="nil"/>
              <w:right w:val="nil"/>
            </w:tcBorders>
            <w:vAlign w:val="center"/>
          </w:tcPr>
          <w:p w:rsidR="00107297" w:rsidRPr="006249AE" w:rsidRDefault="00107297" w:rsidP="0010729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2"/>
              </w:rPr>
            </w:pPr>
            <w:r w:rsidRPr="006249AE">
              <w:rPr>
                <w:sz w:val="22"/>
              </w:rPr>
              <w:t>12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07297" w:rsidRPr="006249AE" w:rsidRDefault="00107297" w:rsidP="0010729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2"/>
              </w:rPr>
            </w:pPr>
            <w:r w:rsidRPr="006249AE">
              <w:rPr>
                <w:sz w:val="22"/>
              </w:rPr>
              <w:t>17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07297" w:rsidRPr="006249AE" w:rsidRDefault="00107297" w:rsidP="0010729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2"/>
              </w:rPr>
            </w:pPr>
            <w:r w:rsidRPr="006249AE">
              <w:rPr>
                <w:sz w:val="22"/>
              </w:rPr>
              <w:t>13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07297" w:rsidRPr="006249AE" w:rsidRDefault="00107297" w:rsidP="0010729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2"/>
              </w:rPr>
            </w:pPr>
            <w:r w:rsidRPr="006249AE">
              <w:rPr>
                <w:sz w:val="22"/>
              </w:rPr>
              <w:t>18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07297" w:rsidRPr="006249AE" w:rsidRDefault="00107297" w:rsidP="0010729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2"/>
              </w:rPr>
            </w:pPr>
            <w:r w:rsidRPr="006249AE">
              <w:rPr>
                <w:sz w:val="22"/>
              </w:rPr>
              <w:t>19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</w:tcBorders>
            <w:vAlign w:val="center"/>
          </w:tcPr>
          <w:p w:rsidR="00107297" w:rsidRPr="006249AE" w:rsidRDefault="00107297" w:rsidP="0010729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2"/>
              </w:rPr>
            </w:pPr>
            <w:r w:rsidRPr="006249AE">
              <w:rPr>
                <w:sz w:val="22"/>
              </w:rPr>
              <w:t>15</w:t>
            </w:r>
          </w:p>
        </w:tc>
        <w:tc>
          <w:tcPr>
            <w:tcW w:w="815" w:type="dxa"/>
            <w:tcBorders>
              <w:top w:val="nil"/>
              <w:bottom w:val="nil"/>
              <w:right w:val="nil"/>
            </w:tcBorders>
            <w:vAlign w:val="center"/>
          </w:tcPr>
          <w:p w:rsidR="00107297" w:rsidRPr="006249AE" w:rsidRDefault="00107297" w:rsidP="0010729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2"/>
              </w:rPr>
            </w:pPr>
            <w:r w:rsidRPr="006249AE">
              <w:rPr>
                <w:sz w:val="22"/>
              </w:rPr>
              <w:t>15.67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</w:tcBorders>
            <w:vAlign w:val="center"/>
          </w:tcPr>
          <w:p w:rsidR="00107297" w:rsidRPr="006249AE" w:rsidRDefault="00107297" w:rsidP="0010729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2"/>
              </w:rPr>
            </w:pPr>
            <w:r w:rsidRPr="006249AE">
              <w:rPr>
                <w:sz w:val="22"/>
              </w:rPr>
              <w:t>2.81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</w:tcBorders>
          </w:tcPr>
          <w:p w:rsidR="00107297" w:rsidRPr="006249AE" w:rsidRDefault="00107297" w:rsidP="0010729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2"/>
              </w:rPr>
            </w:pPr>
            <w:r w:rsidRPr="006249AE">
              <w:rPr>
                <w:sz w:val="22"/>
              </w:rPr>
              <w:t>16.00</w:t>
            </w:r>
          </w:p>
        </w:tc>
      </w:tr>
      <w:tr w:rsidR="00107297" w:rsidRPr="006249AE" w:rsidTr="00107297">
        <w:tc>
          <w:tcPr>
            <w:tcW w:w="1964" w:type="dxa"/>
            <w:tcBorders>
              <w:top w:val="nil"/>
              <w:bottom w:val="nil"/>
            </w:tcBorders>
            <w:vAlign w:val="center"/>
          </w:tcPr>
          <w:p w:rsidR="00107297" w:rsidRPr="006249AE" w:rsidRDefault="00107297" w:rsidP="0010729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2"/>
              </w:rPr>
            </w:pPr>
            <w:r w:rsidRPr="006249AE">
              <w:rPr>
                <w:sz w:val="22"/>
              </w:rPr>
              <w:t>15</w:t>
            </w:r>
          </w:p>
        </w:tc>
        <w:tc>
          <w:tcPr>
            <w:tcW w:w="562" w:type="dxa"/>
            <w:tcBorders>
              <w:top w:val="nil"/>
              <w:bottom w:val="nil"/>
              <w:right w:val="nil"/>
            </w:tcBorders>
            <w:vAlign w:val="center"/>
          </w:tcPr>
          <w:p w:rsidR="00107297" w:rsidRPr="006249AE" w:rsidRDefault="00107297" w:rsidP="0010729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2"/>
              </w:rPr>
            </w:pPr>
            <w:r w:rsidRPr="006249AE">
              <w:rPr>
                <w:sz w:val="22"/>
              </w:rPr>
              <w:t>14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07297" w:rsidRPr="006249AE" w:rsidRDefault="00107297" w:rsidP="0010729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2"/>
              </w:rPr>
            </w:pPr>
            <w:r w:rsidRPr="006249AE">
              <w:rPr>
                <w:sz w:val="22"/>
              </w:rPr>
              <w:t>18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07297" w:rsidRPr="006249AE" w:rsidRDefault="00107297" w:rsidP="0010729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2"/>
              </w:rPr>
            </w:pPr>
            <w:r w:rsidRPr="006249AE">
              <w:rPr>
                <w:sz w:val="22"/>
              </w:rPr>
              <w:t>19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07297" w:rsidRPr="006249AE" w:rsidRDefault="00107297" w:rsidP="0010729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2"/>
              </w:rPr>
            </w:pPr>
            <w:r w:rsidRPr="006249AE">
              <w:rPr>
                <w:sz w:val="22"/>
              </w:rPr>
              <w:t>17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07297" w:rsidRPr="006249AE" w:rsidRDefault="00107297" w:rsidP="0010729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2"/>
              </w:rPr>
            </w:pPr>
            <w:r w:rsidRPr="006249AE">
              <w:rPr>
                <w:sz w:val="22"/>
              </w:rPr>
              <w:t>16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</w:tcBorders>
            <w:vAlign w:val="center"/>
          </w:tcPr>
          <w:p w:rsidR="00107297" w:rsidRPr="006249AE" w:rsidRDefault="00107297" w:rsidP="0010729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2"/>
              </w:rPr>
            </w:pPr>
            <w:r w:rsidRPr="006249AE">
              <w:rPr>
                <w:sz w:val="22"/>
              </w:rPr>
              <w:t>18</w:t>
            </w:r>
          </w:p>
        </w:tc>
        <w:tc>
          <w:tcPr>
            <w:tcW w:w="815" w:type="dxa"/>
            <w:tcBorders>
              <w:top w:val="nil"/>
              <w:bottom w:val="nil"/>
              <w:right w:val="nil"/>
            </w:tcBorders>
            <w:vAlign w:val="center"/>
          </w:tcPr>
          <w:p w:rsidR="00107297" w:rsidRPr="006249AE" w:rsidRDefault="00107297" w:rsidP="0010729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2"/>
              </w:rPr>
            </w:pPr>
            <w:r w:rsidRPr="006249AE">
              <w:rPr>
                <w:sz w:val="22"/>
              </w:rPr>
              <w:t>17.00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</w:tcBorders>
            <w:vAlign w:val="center"/>
          </w:tcPr>
          <w:p w:rsidR="00107297" w:rsidRPr="006249AE" w:rsidRDefault="00107297" w:rsidP="0010729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2"/>
              </w:rPr>
            </w:pPr>
            <w:r w:rsidRPr="006249AE">
              <w:rPr>
                <w:sz w:val="22"/>
              </w:rPr>
              <w:t>1.79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</w:tcBorders>
          </w:tcPr>
          <w:p w:rsidR="00107297" w:rsidRPr="006249AE" w:rsidRDefault="00107297" w:rsidP="0010729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2"/>
              </w:rPr>
            </w:pPr>
            <w:r w:rsidRPr="006249AE">
              <w:rPr>
                <w:sz w:val="22"/>
              </w:rPr>
              <w:t>17.50</w:t>
            </w:r>
          </w:p>
        </w:tc>
      </w:tr>
      <w:tr w:rsidR="00107297" w:rsidRPr="006249AE" w:rsidTr="00107297">
        <w:tc>
          <w:tcPr>
            <w:tcW w:w="1964" w:type="dxa"/>
            <w:tcBorders>
              <w:top w:val="nil"/>
            </w:tcBorders>
            <w:vAlign w:val="center"/>
          </w:tcPr>
          <w:p w:rsidR="00107297" w:rsidRPr="006249AE" w:rsidRDefault="00107297" w:rsidP="0010729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2"/>
              </w:rPr>
            </w:pPr>
            <w:r w:rsidRPr="006249AE">
              <w:rPr>
                <w:sz w:val="22"/>
              </w:rPr>
              <w:t>20</w:t>
            </w:r>
          </w:p>
        </w:tc>
        <w:tc>
          <w:tcPr>
            <w:tcW w:w="562" w:type="dxa"/>
            <w:tcBorders>
              <w:top w:val="nil"/>
              <w:right w:val="nil"/>
            </w:tcBorders>
            <w:vAlign w:val="center"/>
          </w:tcPr>
          <w:p w:rsidR="00107297" w:rsidRPr="006249AE" w:rsidRDefault="00107297" w:rsidP="0010729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2"/>
              </w:rPr>
            </w:pPr>
            <w:r w:rsidRPr="006249AE">
              <w:rPr>
                <w:sz w:val="22"/>
              </w:rPr>
              <w:t>19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107297" w:rsidRPr="006249AE" w:rsidRDefault="00107297" w:rsidP="0010729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2"/>
              </w:rPr>
            </w:pPr>
            <w:r w:rsidRPr="006249AE">
              <w:rPr>
                <w:sz w:val="22"/>
              </w:rPr>
              <w:t>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107297" w:rsidRPr="006249AE" w:rsidRDefault="00107297" w:rsidP="0010729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2"/>
              </w:rPr>
            </w:pPr>
            <w:r w:rsidRPr="006249AE">
              <w:rPr>
                <w:sz w:val="22"/>
              </w:rPr>
              <w:t>22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107297" w:rsidRPr="006249AE" w:rsidRDefault="00107297" w:rsidP="0010729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2"/>
              </w:rPr>
            </w:pPr>
            <w:r w:rsidRPr="006249AE">
              <w:rPr>
                <w:sz w:val="22"/>
              </w:rPr>
              <w:t>23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107297" w:rsidRPr="006249AE" w:rsidRDefault="00107297" w:rsidP="0010729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2"/>
              </w:rPr>
            </w:pPr>
            <w:r w:rsidRPr="006249AE">
              <w:rPr>
                <w:sz w:val="22"/>
              </w:rPr>
              <w:t>18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 w:themeColor="text1"/>
            </w:tcBorders>
            <w:vAlign w:val="center"/>
          </w:tcPr>
          <w:p w:rsidR="00107297" w:rsidRPr="006249AE" w:rsidRDefault="00107297" w:rsidP="0010729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2"/>
              </w:rPr>
            </w:pPr>
            <w:r w:rsidRPr="006249AE">
              <w:rPr>
                <w:sz w:val="22"/>
              </w:rPr>
              <w:t>20</w:t>
            </w:r>
          </w:p>
        </w:tc>
        <w:tc>
          <w:tcPr>
            <w:tcW w:w="815" w:type="dxa"/>
            <w:tcBorders>
              <w:top w:val="nil"/>
              <w:right w:val="nil"/>
            </w:tcBorders>
            <w:vAlign w:val="center"/>
          </w:tcPr>
          <w:p w:rsidR="00107297" w:rsidRPr="006249AE" w:rsidRDefault="00107297" w:rsidP="0010729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2"/>
              </w:rPr>
            </w:pPr>
            <w:r w:rsidRPr="006249AE">
              <w:rPr>
                <w:sz w:val="22"/>
              </w:rPr>
              <w:t>21.17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 w:themeColor="text1"/>
            </w:tcBorders>
            <w:vAlign w:val="center"/>
          </w:tcPr>
          <w:p w:rsidR="00107297" w:rsidRPr="006249AE" w:rsidRDefault="00107297" w:rsidP="0010729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2"/>
              </w:rPr>
            </w:pPr>
            <w:r w:rsidRPr="006249AE">
              <w:rPr>
                <w:sz w:val="22"/>
              </w:rPr>
              <w:t>2.64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000000" w:themeColor="text1"/>
            </w:tcBorders>
          </w:tcPr>
          <w:p w:rsidR="00107297" w:rsidRPr="006249AE" w:rsidRDefault="00107297" w:rsidP="0010729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2"/>
              </w:rPr>
            </w:pPr>
            <w:r w:rsidRPr="006249AE">
              <w:rPr>
                <w:sz w:val="22"/>
              </w:rPr>
              <w:t>21.00</w:t>
            </w:r>
          </w:p>
        </w:tc>
      </w:tr>
      <w:tr w:rsidR="00107297" w:rsidRPr="006249AE" w:rsidTr="00107297">
        <w:tc>
          <w:tcPr>
            <w:tcW w:w="1964" w:type="dxa"/>
            <w:vAlign w:val="center"/>
          </w:tcPr>
          <w:p w:rsidR="00107297" w:rsidRPr="006249AE" w:rsidRDefault="00107297" w:rsidP="0010729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2"/>
              </w:rPr>
            </w:pPr>
            <w:r w:rsidRPr="006249AE">
              <w:rPr>
                <w:sz w:val="22"/>
              </w:rPr>
              <w:t>All</w:t>
            </w:r>
          </w:p>
        </w:tc>
        <w:tc>
          <w:tcPr>
            <w:tcW w:w="562" w:type="dxa"/>
            <w:tcBorders>
              <w:right w:val="nil"/>
            </w:tcBorders>
            <w:vAlign w:val="center"/>
          </w:tcPr>
          <w:p w:rsidR="00107297" w:rsidRPr="006249AE" w:rsidRDefault="00107297" w:rsidP="0010729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2"/>
              </w:rPr>
            </w:pPr>
          </w:p>
        </w:tc>
        <w:tc>
          <w:tcPr>
            <w:tcW w:w="561" w:type="dxa"/>
            <w:tcBorders>
              <w:left w:val="nil"/>
              <w:right w:val="nil"/>
            </w:tcBorders>
            <w:vAlign w:val="center"/>
          </w:tcPr>
          <w:p w:rsidR="00107297" w:rsidRPr="006249AE" w:rsidRDefault="00107297" w:rsidP="0010729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2"/>
              </w:rPr>
            </w:pPr>
          </w:p>
        </w:tc>
        <w:tc>
          <w:tcPr>
            <w:tcW w:w="561" w:type="dxa"/>
            <w:tcBorders>
              <w:left w:val="nil"/>
              <w:right w:val="nil"/>
            </w:tcBorders>
            <w:vAlign w:val="center"/>
          </w:tcPr>
          <w:p w:rsidR="00107297" w:rsidRPr="006249AE" w:rsidRDefault="00107297" w:rsidP="0010729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2"/>
              </w:rPr>
            </w:pPr>
          </w:p>
        </w:tc>
        <w:tc>
          <w:tcPr>
            <w:tcW w:w="561" w:type="dxa"/>
            <w:tcBorders>
              <w:left w:val="nil"/>
              <w:right w:val="nil"/>
            </w:tcBorders>
            <w:vAlign w:val="center"/>
          </w:tcPr>
          <w:p w:rsidR="00107297" w:rsidRPr="006249AE" w:rsidRDefault="00107297" w:rsidP="0010729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2"/>
              </w:rPr>
            </w:pPr>
          </w:p>
        </w:tc>
        <w:tc>
          <w:tcPr>
            <w:tcW w:w="561" w:type="dxa"/>
            <w:tcBorders>
              <w:left w:val="nil"/>
              <w:right w:val="nil"/>
            </w:tcBorders>
            <w:vAlign w:val="center"/>
          </w:tcPr>
          <w:p w:rsidR="00107297" w:rsidRPr="006249AE" w:rsidRDefault="00107297" w:rsidP="0010729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2"/>
              </w:rPr>
            </w:pPr>
          </w:p>
        </w:tc>
        <w:tc>
          <w:tcPr>
            <w:tcW w:w="561" w:type="dxa"/>
            <w:tcBorders>
              <w:left w:val="nil"/>
            </w:tcBorders>
            <w:vAlign w:val="center"/>
          </w:tcPr>
          <w:p w:rsidR="00107297" w:rsidRPr="006249AE" w:rsidRDefault="00107297" w:rsidP="0010729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2"/>
              </w:rPr>
            </w:pPr>
          </w:p>
        </w:tc>
        <w:tc>
          <w:tcPr>
            <w:tcW w:w="815" w:type="dxa"/>
            <w:tcBorders>
              <w:right w:val="nil"/>
            </w:tcBorders>
            <w:vAlign w:val="center"/>
          </w:tcPr>
          <w:p w:rsidR="00107297" w:rsidRPr="006249AE" w:rsidRDefault="00107297" w:rsidP="0010729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2"/>
              </w:rPr>
            </w:pPr>
            <w:r w:rsidRPr="006249AE">
              <w:rPr>
                <w:sz w:val="22"/>
              </w:rPr>
              <w:t>15.96</w:t>
            </w:r>
          </w:p>
        </w:tc>
        <w:tc>
          <w:tcPr>
            <w:tcW w:w="1187" w:type="dxa"/>
            <w:tcBorders>
              <w:left w:val="nil"/>
            </w:tcBorders>
            <w:vAlign w:val="center"/>
          </w:tcPr>
          <w:p w:rsidR="00107297" w:rsidRPr="006249AE" w:rsidRDefault="00107297" w:rsidP="0010729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2"/>
              </w:rPr>
            </w:pPr>
            <w:r w:rsidRPr="006249AE">
              <w:rPr>
                <w:sz w:val="22"/>
              </w:rPr>
              <w:t>4.72</w:t>
            </w:r>
          </w:p>
        </w:tc>
        <w:tc>
          <w:tcPr>
            <w:tcW w:w="968" w:type="dxa"/>
            <w:tcBorders>
              <w:left w:val="nil"/>
            </w:tcBorders>
          </w:tcPr>
          <w:p w:rsidR="00107297" w:rsidRPr="006249AE" w:rsidRDefault="00107297" w:rsidP="0010729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22"/>
              </w:rPr>
            </w:pPr>
          </w:p>
        </w:tc>
      </w:tr>
    </w:tbl>
    <w:p w:rsidR="00107297" w:rsidRDefault="00107297" w:rsidP="00357660">
      <w:pPr>
        <w:autoSpaceDE w:val="0"/>
        <w:autoSpaceDN w:val="0"/>
        <w:adjustRightInd w:val="0"/>
        <w:spacing w:before="120" w:after="240"/>
      </w:pPr>
      <w:r w:rsidRPr="0075018E">
        <w:rPr>
          <w:b/>
        </w:rPr>
        <w:t>Research question:</w:t>
      </w:r>
      <w:r>
        <w:t xml:space="preserve"> Are</w:t>
      </w:r>
      <w:r w:rsidRPr="0075018E">
        <w:t xml:space="preserve"> there difference</w:t>
      </w:r>
      <w:r>
        <w:t>s</w:t>
      </w:r>
      <w:r w:rsidRPr="0075018E">
        <w:t xml:space="preserve"> in mean tensile</w:t>
      </w:r>
      <w:r>
        <w:t xml:space="preserve"> strengths between the different</w:t>
      </w:r>
      <w:r w:rsidRPr="0075018E">
        <w:t xml:space="preserve"> hardwood concentrations?</w:t>
      </w:r>
    </w:p>
    <w:p w:rsidR="00357660" w:rsidRPr="00357660" w:rsidRDefault="00357660" w:rsidP="00357660">
      <w:pPr>
        <w:autoSpaceDE w:val="0"/>
        <w:autoSpaceDN w:val="0"/>
        <w:adjustRightInd w:val="0"/>
        <w:spacing w:after="0"/>
        <w:ind w:left="284" w:hanging="284"/>
        <w:rPr>
          <w:sz w:val="20"/>
        </w:rPr>
      </w:pPr>
      <w:r w:rsidRPr="00357660">
        <w:rPr>
          <w:sz w:val="20"/>
          <w:szCs w:val="18"/>
        </w:rPr>
        <w:t>1.</w:t>
      </w:r>
      <w:r w:rsidRPr="00357660">
        <w:rPr>
          <w:sz w:val="20"/>
          <w:szCs w:val="18"/>
        </w:rPr>
        <w:tab/>
        <w:t xml:space="preserve">Source: Montgomery, D. and </w:t>
      </w:r>
      <w:proofErr w:type="spellStart"/>
      <w:r w:rsidRPr="00357660">
        <w:rPr>
          <w:sz w:val="20"/>
          <w:szCs w:val="18"/>
        </w:rPr>
        <w:t>Runger</w:t>
      </w:r>
      <w:proofErr w:type="spellEnd"/>
      <w:r w:rsidRPr="00357660">
        <w:rPr>
          <w:sz w:val="20"/>
          <w:szCs w:val="18"/>
        </w:rPr>
        <w:t xml:space="preserve">, G. (2011) </w:t>
      </w:r>
      <w:r w:rsidRPr="00357660">
        <w:rPr>
          <w:i/>
          <w:sz w:val="20"/>
          <w:szCs w:val="18"/>
        </w:rPr>
        <w:t>Applied Statistics and Probability for Engineers</w:t>
      </w:r>
      <w:r w:rsidRPr="00357660">
        <w:rPr>
          <w:sz w:val="20"/>
          <w:szCs w:val="18"/>
        </w:rPr>
        <w:t>, 5</w:t>
      </w:r>
      <w:r w:rsidRPr="00357660">
        <w:rPr>
          <w:sz w:val="20"/>
          <w:szCs w:val="18"/>
          <w:vertAlign w:val="superscript"/>
        </w:rPr>
        <w:t>th</w:t>
      </w:r>
      <w:r w:rsidRPr="00357660">
        <w:rPr>
          <w:sz w:val="20"/>
          <w:szCs w:val="18"/>
        </w:rPr>
        <w:t xml:space="preserve"> ed., Hoboken, NJ: Wiley.</w:t>
      </w:r>
    </w:p>
    <w:p w:rsidR="00107297" w:rsidRPr="0075018E" w:rsidRDefault="00107297" w:rsidP="00107297">
      <w:pPr>
        <w:autoSpaceDE w:val="0"/>
        <w:autoSpaceDN w:val="0"/>
        <w:adjustRightInd w:val="0"/>
      </w:pPr>
      <w:r w:rsidRPr="0075018E">
        <w:lastRenderedPageBreak/>
        <w:t xml:space="preserve">In </w:t>
      </w:r>
      <w:r>
        <w:t xml:space="preserve">the </w:t>
      </w:r>
      <w:r w:rsidRPr="0075018E">
        <w:t xml:space="preserve">analysis of variance we compare the variability </w:t>
      </w:r>
      <w:r w:rsidRPr="0075018E">
        <w:rPr>
          <w:b/>
        </w:rPr>
        <w:t>between</w:t>
      </w:r>
      <w:r w:rsidRPr="0075018E">
        <w:t xml:space="preserve"> the grou</w:t>
      </w:r>
      <w:r>
        <w:t>ps (how far the means are apart</w:t>
      </w:r>
      <w:r w:rsidRPr="0075018E">
        <w:t xml:space="preserve">) to the variability </w:t>
      </w:r>
      <w:r w:rsidRPr="0075018E">
        <w:rPr>
          <w:b/>
        </w:rPr>
        <w:t>within</w:t>
      </w:r>
      <w:r w:rsidRPr="0075018E">
        <w:t xml:space="preserve"> the groups (how much natural variati</w:t>
      </w:r>
      <w:r>
        <w:t>on there is in the measurements</w:t>
      </w:r>
      <w:r w:rsidRPr="0075018E">
        <w:t xml:space="preserve">).  This is why it is called analysis of variance, </w:t>
      </w:r>
      <w:r>
        <w:t xml:space="preserve">often </w:t>
      </w:r>
      <w:r w:rsidRPr="0075018E">
        <w:t xml:space="preserve">abbreviated to </w:t>
      </w:r>
      <w:r w:rsidRPr="00EA6FBE">
        <w:rPr>
          <w:b/>
        </w:rPr>
        <w:t>ANOVA</w:t>
      </w:r>
      <w:r w:rsidRPr="0075018E">
        <w:t>.</w:t>
      </w:r>
    </w:p>
    <w:p w:rsidR="00107297" w:rsidRPr="0075018E" w:rsidRDefault="00107297" w:rsidP="00107297">
      <w:pPr>
        <w:pStyle w:val="Heading2"/>
      </w:pPr>
      <w:r>
        <w:t>Hypotheses</w:t>
      </w:r>
    </w:p>
    <w:p w:rsidR="00107297" w:rsidRPr="0075018E" w:rsidRDefault="00107297" w:rsidP="00107297">
      <w:r>
        <w:t>The null hypothesis</w:t>
      </w:r>
      <w:r w:rsidRPr="0075018E">
        <w:t xml:space="preserve"> </w:t>
      </w:r>
      <w:r>
        <w:t>is</w:t>
      </w:r>
      <w:r w:rsidRPr="0075018E">
        <w:t>:</w:t>
      </w:r>
    </w:p>
    <w:p w:rsidR="00107297" w:rsidRPr="0075018E" w:rsidRDefault="00107297" w:rsidP="00107297">
      <w:pPr>
        <w:ind w:left="993" w:hanging="426"/>
      </w:pPr>
      <w:r w:rsidRPr="0075018E">
        <w:t>H</w:t>
      </w:r>
      <w:r w:rsidRPr="0075018E">
        <w:rPr>
          <w:vertAlign w:val="subscript"/>
        </w:rPr>
        <w:t>0</w:t>
      </w:r>
      <w:r w:rsidRPr="0075018E">
        <w:t xml:space="preserve">: There is </w:t>
      </w:r>
      <w:r w:rsidRPr="0075018E">
        <w:rPr>
          <w:b/>
        </w:rPr>
        <w:t>no difference in mean</w:t>
      </w:r>
      <w:r>
        <w:t xml:space="preserve"> tensile strength between the four</w:t>
      </w:r>
      <w:r w:rsidRPr="0075018E">
        <w:t xml:space="preserve"> hardwood concentrations</w:t>
      </w:r>
    </w:p>
    <w:p w:rsidR="00107297" w:rsidRPr="0075018E" w:rsidRDefault="00107297" w:rsidP="00107297">
      <w:r>
        <w:t>The alternative hypothesis</w:t>
      </w:r>
      <w:r w:rsidRPr="0075018E">
        <w:t xml:space="preserve"> </w:t>
      </w:r>
      <w:r>
        <w:t>is</w:t>
      </w:r>
      <w:r w:rsidRPr="0075018E">
        <w:t>:</w:t>
      </w:r>
    </w:p>
    <w:p w:rsidR="00107297" w:rsidRPr="0075018E" w:rsidRDefault="00107297" w:rsidP="00107297">
      <w:pPr>
        <w:tabs>
          <w:tab w:val="left" w:pos="567"/>
        </w:tabs>
        <w:ind w:left="993" w:hanging="426"/>
      </w:pPr>
      <w:r w:rsidRPr="0075018E">
        <w:t>H</w:t>
      </w:r>
      <w:r w:rsidRPr="0075018E">
        <w:rPr>
          <w:vertAlign w:val="subscript"/>
        </w:rPr>
        <w:t>1</w:t>
      </w:r>
      <w:r w:rsidRPr="0075018E">
        <w:t xml:space="preserve">: There </w:t>
      </w:r>
      <w:r w:rsidRPr="0075018E">
        <w:rPr>
          <w:b/>
        </w:rPr>
        <w:t>is a difference in mean</w:t>
      </w:r>
      <w:r>
        <w:t xml:space="preserve"> tensile strength between the four</w:t>
      </w:r>
      <w:r w:rsidRPr="0075018E">
        <w:t xml:space="preserve"> hardwood concentrations</w:t>
      </w:r>
    </w:p>
    <w:p w:rsidR="00107297" w:rsidRPr="00920EC2" w:rsidRDefault="00107297" w:rsidP="00107297">
      <w:pPr>
        <w:pStyle w:val="Heading1"/>
      </w:pPr>
      <w:r w:rsidRPr="00920EC2">
        <w:rPr>
          <w:noProof/>
          <w:lang w:eastAsia="en-GB"/>
        </w:rPr>
        <w:drawing>
          <wp:anchor distT="0" distB="0" distL="114300" distR="114300" simplePos="0" relativeHeight="251661312" behindDoc="0" locked="0" layoutInCell="1" allowOverlap="1" wp14:anchorId="1C01C46D" wp14:editId="0AD93EE0">
            <wp:simplePos x="0" y="0"/>
            <wp:positionH relativeFrom="column">
              <wp:posOffset>4610100</wp:posOffset>
            </wp:positionH>
            <wp:positionV relativeFrom="paragraph">
              <wp:posOffset>103505</wp:posOffset>
            </wp:positionV>
            <wp:extent cx="1520825" cy="1956435"/>
            <wp:effectExtent l="19050" t="19050" r="22225" b="24765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0825" cy="195643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20EC2">
        <w:t>Steps in SPSS</w:t>
      </w:r>
    </w:p>
    <w:p w:rsidR="00107297" w:rsidRDefault="00107297" w:rsidP="00107297">
      <w:r>
        <w:t xml:space="preserve">Create two numerical variables called </w:t>
      </w:r>
      <w:r w:rsidRPr="00B110F5">
        <w:rPr>
          <w:i/>
        </w:rPr>
        <w:t>Concentration</w:t>
      </w:r>
      <w:r>
        <w:t xml:space="preserve"> and </w:t>
      </w:r>
      <w:r w:rsidRPr="00B110F5">
        <w:rPr>
          <w:i/>
        </w:rPr>
        <w:t>Strength</w:t>
      </w:r>
      <w:r>
        <w:t xml:space="preserve">.  In the example on the right, </w:t>
      </w:r>
      <w:r w:rsidRPr="0075018E">
        <w:rPr>
          <w:i/>
        </w:rPr>
        <w:t>Conc</w:t>
      </w:r>
      <w:r>
        <w:rPr>
          <w:i/>
        </w:rPr>
        <w:t>entration</w:t>
      </w:r>
      <w:r w:rsidRPr="0075018E">
        <w:t xml:space="preserve"> has codes 1 for 5% hardwoo</w:t>
      </w:r>
      <w:r>
        <w:t>d concentration, 2 for 10%, etc.</w:t>
      </w:r>
      <w:r w:rsidRPr="0075018E">
        <w:t xml:space="preserve"> </w:t>
      </w:r>
      <w:r>
        <w:t>and Strength is the tensile strengths in PSI.  These codes can be explained using the Values field in the Variable View.</w:t>
      </w:r>
    </w:p>
    <w:p w:rsidR="00107297" w:rsidRPr="00920EC2" w:rsidRDefault="00107297" w:rsidP="00107297">
      <w:pPr>
        <w:pStyle w:val="Heading2"/>
      </w:pPr>
      <w:r w:rsidRPr="00920EC2">
        <w:t>Testing ANOVA assumptions</w:t>
      </w:r>
    </w:p>
    <w:p w:rsidR="00107297" w:rsidRDefault="00107297" w:rsidP="00107297">
      <w:pPr>
        <w:autoSpaceDE w:val="0"/>
        <w:autoSpaceDN w:val="0"/>
        <w:adjustRightInd w:val="0"/>
      </w:pPr>
      <w:r>
        <w:t>ANOVA has three assumptions:</w:t>
      </w:r>
    </w:p>
    <w:p w:rsidR="00107297" w:rsidRDefault="00107297" w:rsidP="00477CBE">
      <w:pPr>
        <w:pStyle w:val="ListParagraph"/>
        <w:numPr>
          <w:ilvl w:val="0"/>
          <w:numId w:val="6"/>
        </w:numPr>
        <w:autoSpaceDE w:val="0"/>
        <w:autoSpaceDN w:val="0"/>
        <w:adjustRightInd w:val="0"/>
        <w:ind w:left="284" w:hanging="284"/>
        <w:contextualSpacing w:val="0"/>
      </w:pPr>
      <w:r w:rsidRPr="0075018E">
        <w:t>The observations are random samples from normal distributions</w:t>
      </w:r>
      <w:r>
        <w:t>.</w:t>
      </w:r>
    </w:p>
    <w:p w:rsidR="00107297" w:rsidRPr="0075018E" w:rsidRDefault="00107297" w:rsidP="00477CBE">
      <w:pPr>
        <w:pStyle w:val="ListParagraph"/>
        <w:numPr>
          <w:ilvl w:val="0"/>
          <w:numId w:val="6"/>
        </w:numPr>
        <w:autoSpaceDE w:val="0"/>
        <w:autoSpaceDN w:val="0"/>
        <w:adjustRightInd w:val="0"/>
        <w:ind w:left="284" w:hanging="284"/>
        <w:contextualSpacing w:val="0"/>
      </w:pPr>
      <w:r w:rsidRPr="00126FC0">
        <w:t xml:space="preserve">The </w:t>
      </w:r>
      <w:r>
        <w:t>residuals</w:t>
      </w:r>
      <w:r w:rsidRPr="00126FC0">
        <w:t xml:space="preserve"> for the whole data set are normally distributed. </w:t>
      </w:r>
      <w:r>
        <w:t xml:space="preserve"> </w:t>
      </w:r>
      <w:r w:rsidRPr="00126FC0">
        <w:t xml:space="preserve">This theoretically follows from </w:t>
      </w:r>
      <w:r>
        <w:t>the first a</w:t>
      </w:r>
      <w:r w:rsidRPr="00126FC0">
        <w:t>ssumption but it is worth testing</w:t>
      </w:r>
      <w:r>
        <w:t xml:space="preserve"> separately with small samples.</w:t>
      </w:r>
    </w:p>
    <w:p w:rsidR="00107297" w:rsidRPr="00126FC0" w:rsidRDefault="00357660" w:rsidP="00477CBE">
      <w:pPr>
        <w:pStyle w:val="ListParagraph"/>
        <w:numPr>
          <w:ilvl w:val="0"/>
          <w:numId w:val="6"/>
        </w:numPr>
        <w:ind w:left="284" w:hanging="284"/>
      </w:pPr>
      <w:r w:rsidRPr="00F508D3">
        <w:rPr>
          <w:noProof/>
          <w:lang w:eastAsia="en-GB"/>
        </w:rPr>
        <w:drawing>
          <wp:anchor distT="0" distB="0" distL="114300" distR="114300" simplePos="0" relativeHeight="251662336" behindDoc="0" locked="0" layoutInCell="1" allowOverlap="1" wp14:anchorId="5279E64F" wp14:editId="29853DDE">
            <wp:simplePos x="0" y="0"/>
            <wp:positionH relativeFrom="column">
              <wp:posOffset>2564765</wp:posOffset>
            </wp:positionH>
            <wp:positionV relativeFrom="paragraph">
              <wp:posOffset>204470</wp:posOffset>
            </wp:positionV>
            <wp:extent cx="3599815" cy="1207770"/>
            <wp:effectExtent l="19050" t="19050" r="19685" b="11430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815" cy="120777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7297" w:rsidRPr="00126FC0">
        <w:t xml:space="preserve">The </w:t>
      </w:r>
      <w:r w:rsidR="00107297">
        <w:t xml:space="preserve">groups </w:t>
      </w:r>
      <w:r w:rsidR="00107297" w:rsidRPr="00126FC0">
        <w:t xml:space="preserve">have </w:t>
      </w:r>
      <w:r w:rsidR="00107297">
        <w:t>equal</w:t>
      </w:r>
      <w:r w:rsidR="00107297" w:rsidRPr="00126FC0">
        <w:t xml:space="preserve"> variance</w:t>
      </w:r>
      <w:r w:rsidR="00107297">
        <w:t>s.</w:t>
      </w:r>
    </w:p>
    <w:p w:rsidR="00357660" w:rsidRDefault="000C3847" w:rsidP="00107297">
      <w:r w:rsidRPr="00C87E29">
        <w:rPr>
          <w:noProof/>
          <w:lang w:eastAsia="en-GB"/>
        </w:rPr>
        <w:drawing>
          <wp:anchor distT="0" distB="0" distL="114300" distR="114300" simplePos="0" relativeHeight="251668480" behindDoc="0" locked="0" layoutInCell="1" allowOverlap="1" wp14:anchorId="786B5722" wp14:editId="48FAA432">
            <wp:simplePos x="0" y="0"/>
            <wp:positionH relativeFrom="column">
              <wp:posOffset>3706495</wp:posOffset>
            </wp:positionH>
            <wp:positionV relativeFrom="paragraph">
              <wp:posOffset>1254760</wp:posOffset>
            </wp:positionV>
            <wp:extent cx="2458720" cy="189230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8720" cy="1892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7297">
        <w:t xml:space="preserve">To test the first assumption, select </w:t>
      </w:r>
      <w:proofErr w:type="spellStart"/>
      <w:r w:rsidR="00107297">
        <w:t>Analyze</w:t>
      </w:r>
      <w:proofErr w:type="spellEnd"/>
      <w:r w:rsidR="00107297">
        <w:t xml:space="preserve"> – Descriptive Statistics – Explore…, select </w:t>
      </w:r>
      <w:r w:rsidR="00107297" w:rsidRPr="00F508D3">
        <w:rPr>
          <w:i/>
        </w:rPr>
        <w:t>Strength</w:t>
      </w:r>
      <w:r w:rsidR="00107297">
        <w:t xml:space="preserve"> on the Dependent List and </w:t>
      </w:r>
      <w:r w:rsidR="00107297" w:rsidRPr="00F508D3">
        <w:rPr>
          <w:i/>
        </w:rPr>
        <w:t>Concentration</w:t>
      </w:r>
      <w:r w:rsidR="00107297">
        <w:t xml:space="preserve"> on the Factor List.  Under Plots… select Normality plots with tests.  The Shapiro-Wilk normality test for each group is negati</w:t>
      </w:r>
      <w:r w:rsidR="00477CBE">
        <w:t>ve (p &gt; 0.05, see right</w:t>
      </w:r>
      <w:r w:rsidR="00107297">
        <w:t>), indicating that we may assume that the data is normally distributed (the Kolmogorov-Smirnov test</w:t>
      </w:r>
      <w:r>
        <w:t xml:space="preserve"> should not be used for small sample sizes</w:t>
      </w:r>
      <w:r w:rsidR="00107297">
        <w:t>).</w:t>
      </w:r>
    </w:p>
    <w:p w:rsidR="00107297" w:rsidRDefault="00357660" w:rsidP="00107297">
      <w:r w:rsidRPr="00357660">
        <w:rPr>
          <w:b/>
        </w:rPr>
        <w:t>Note</w:t>
      </w:r>
      <w:r>
        <w:t xml:space="preserve">: For more thorough normality checking, </w:t>
      </w:r>
      <w:r w:rsidRPr="00357660">
        <w:t>use histogram</w:t>
      </w:r>
      <w:r>
        <w:t xml:space="preserve">s and </w:t>
      </w:r>
      <w:r w:rsidRPr="00357660">
        <w:t>boxplot</w:t>
      </w:r>
      <w:r>
        <w:t>s</w:t>
      </w:r>
      <w:r w:rsidRPr="00357660">
        <w:t xml:space="preserve"> for large samples and QQ plot</w:t>
      </w:r>
      <w:r>
        <w:t>s</w:t>
      </w:r>
      <w:r w:rsidRPr="00357660">
        <w:t xml:space="preserve"> for small samples </w:t>
      </w:r>
      <w:r>
        <w:t>–</w:t>
      </w:r>
      <w:r w:rsidRPr="00357660">
        <w:t xml:space="preserve"> </w:t>
      </w:r>
      <w:r>
        <w:t xml:space="preserve">see the </w:t>
      </w:r>
      <w:r w:rsidRPr="00357660">
        <w:t xml:space="preserve">normality </w:t>
      </w:r>
      <w:r>
        <w:t>testing work</w:t>
      </w:r>
      <w:r w:rsidRPr="00357660">
        <w:t>sheet.</w:t>
      </w:r>
    </w:p>
    <w:p w:rsidR="00107297" w:rsidRDefault="00107297" w:rsidP="00107297">
      <w:r>
        <w:t>To test the second assumption we first need to create the residuals:</w:t>
      </w:r>
    </w:p>
    <w:p w:rsidR="00107297" w:rsidRDefault="00107297" w:rsidP="00477CBE">
      <w:pPr>
        <w:pStyle w:val="ListParagraph"/>
        <w:numPr>
          <w:ilvl w:val="0"/>
          <w:numId w:val="7"/>
        </w:numPr>
        <w:ind w:left="284" w:hanging="284"/>
        <w:contextualSpacing w:val="0"/>
      </w:pPr>
      <w:r w:rsidRPr="00F508D3">
        <w:t xml:space="preserve">Select </w:t>
      </w:r>
      <w:proofErr w:type="spellStart"/>
      <w:r w:rsidRPr="00F508D3">
        <w:t>Analyze</w:t>
      </w:r>
      <w:proofErr w:type="spellEnd"/>
      <w:r w:rsidRPr="00F508D3">
        <w:t xml:space="preserve"> – General linear model – Univariate</w:t>
      </w:r>
    </w:p>
    <w:p w:rsidR="00107297" w:rsidRDefault="00107297" w:rsidP="00477CBE">
      <w:pPr>
        <w:pStyle w:val="ListParagraph"/>
        <w:numPr>
          <w:ilvl w:val="0"/>
          <w:numId w:val="7"/>
        </w:numPr>
        <w:ind w:left="284" w:hanging="284"/>
        <w:contextualSpacing w:val="0"/>
      </w:pPr>
      <w:r>
        <w:lastRenderedPageBreak/>
        <w:t>A</w:t>
      </w:r>
      <w:r w:rsidRPr="00F508D3">
        <w:t xml:space="preserve">dd </w:t>
      </w:r>
      <w:r w:rsidRPr="00F508D3">
        <w:rPr>
          <w:i/>
        </w:rPr>
        <w:t>Strength</w:t>
      </w:r>
      <w:r w:rsidRPr="00F508D3">
        <w:t xml:space="preserve"> as the Dependent Variable and </w:t>
      </w:r>
      <w:r w:rsidRPr="00F508D3">
        <w:rPr>
          <w:i/>
        </w:rPr>
        <w:t>Concentration</w:t>
      </w:r>
      <w:r>
        <w:t xml:space="preserve"> as the Fixed Factor</w:t>
      </w:r>
    </w:p>
    <w:p w:rsidR="00107297" w:rsidRDefault="00107297" w:rsidP="00477CBE">
      <w:pPr>
        <w:pStyle w:val="ListParagraph"/>
        <w:numPr>
          <w:ilvl w:val="0"/>
          <w:numId w:val="7"/>
        </w:numPr>
        <w:ind w:left="284" w:hanging="284"/>
        <w:contextualSpacing w:val="0"/>
      </w:pPr>
      <w:r>
        <w:t xml:space="preserve">Select Save… and choose </w:t>
      </w:r>
      <w:proofErr w:type="spellStart"/>
      <w:r>
        <w:t>Unstandardised</w:t>
      </w:r>
      <w:proofErr w:type="spellEnd"/>
      <w:r>
        <w:t xml:space="preserve"> residuals</w:t>
      </w:r>
    </w:p>
    <w:p w:rsidR="00107297" w:rsidRDefault="00107297" w:rsidP="00107297">
      <w:r>
        <w:t>Now we can test the residuals for normality:</w:t>
      </w:r>
      <w:r w:rsidRPr="00C87E29">
        <w:rPr>
          <w:noProof/>
        </w:rPr>
        <w:t xml:space="preserve"> </w:t>
      </w:r>
    </w:p>
    <w:p w:rsidR="00107297" w:rsidRDefault="00107297" w:rsidP="00477CBE">
      <w:pPr>
        <w:pStyle w:val="ListParagraph"/>
        <w:numPr>
          <w:ilvl w:val="0"/>
          <w:numId w:val="7"/>
        </w:numPr>
        <w:ind w:left="284" w:hanging="284"/>
        <w:contextualSpacing w:val="0"/>
      </w:pPr>
      <w:r w:rsidRPr="00F508D3">
        <w:t xml:space="preserve">Select </w:t>
      </w:r>
      <w:proofErr w:type="spellStart"/>
      <w:r w:rsidRPr="00F508D3">
        <w:t>Analyze</w:t>
      </w:r>
      <w:proofErr w:type="spellEnd"/>
      <w:r w:rsidRPr="00F508D3">
        <w:t xml:space="preserve"> – Descriptive Statistics – Explore</w:t>
      </w:r>
      <w:r>
        <w:t>…</w:t>
      </w:r>
    </w:p>
    <w:p w:rsidR="00107297" w:rsidRDefault="00477CBE" w:rsidP="00477CBE">
      <w:pPr>
        <w:pStyle w:val="ListParagraph"/>
        <w:numPr>
          <w:ilvl w:val="0"/>
          <w:numId w:val="7"/>
        </w:numPr>
        <w:ind w:left="284" w:hanging="284"/>
        <w:contextualSpacing w:val="0"/>
      </w:pPr>
      <w:r w:rsidRPr="00C87E29">
        <w:rPr>
          <w:noProof/>
          <w:lang w:eastAsia="en-GB"/>
        </w:rPr>
        <w:drawing>
          <wp:anchor distT="0" distB="0" distL="114300" distR="114300" simplePos="0" relativeHeight="251669504" behindDoc="0" locked="0" layoutInCell="1" allowOverlap="1" wp14:anchorId="294A5CAD" wp14:editId="24D231B7">
            <wp:simplePos x="0" y="0"/>
            <wp:positionH relativeFrom="column">
              <wp:posOffset>2558415</wp:posOffset>
            </wp:positionH>
            <wp:positionV relativeFrom="paragraph">
              <wp:posOffset>320675</wp:posOffset>
            </wp:positionV>
            <wp:extent cx="3509010" cy="821055"/>
            <wp:effectExtent l="19050" t="19050" r="15240" b="1714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9010" cy="82105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7297">
        <w:t xml:space="preserve">Select </w:t>
      </w:r>
      <w:r w:rsidR="00107297" w:rsidRPr="000E2C2E">
        <w:rPr>
          <w:i/>
        </w:rPr>
        <w:t>Standardized Residual for Strength</w:t>
      </w:r>
      <w:r w:rsidR="00107297">
        <w:t xml:space="preserve"> on the Dependent List and leave the Factor List blank</w:t>
      </w:r>
    </w:p>
    <w:p w:rsidR="00107297" w:rsidRDefault="00107297" w:rsidP="00477CBE">
      <w:pPr>
        <w:pStyle w:val="ListParagraph"/>
        <w:numPr>
          <w:ilvl w:val="0"/>
          <w:numId w:val="7"/>
        </w:numPr>
        <w:ind w:left="284" w:hanging="284"/>
        <w:contextualSpacing w:val="0"/>
      </w:pPr>
      <w:r>
        <w:rPr>
          <w:noProof/>
        </w:rPr>
        <w:t xml:space="preserve">Under Plots… select </w:t>
      </w:r>
      <w:r>
        <w:t>Normality plots with tests</w:t>
      </w:r>
    </w:p>
    <w:p w:rsidR="00107297" w:rsidRPr="00922D09" w:rsidRDefault="00107297" w:rsidP="00107297">
      <w:r w:rsidRPr="006C2E72">
        <w:rPr>
          <w:noProof/>
          <w:lang w:eastAsia="en-GB"/>
        </w:rPr>
        <w:drawing>
          <wp:anchor distT="0" distB="0" distL="114300" distR="114300" simplePos="0" relativeHeight="251663360" behindDoc="0" locked="0" layoutInCell="1" allowOverlap="1" wp14:anchorId="44F3C2AC" wp14:editId="56802749">
            <wp:simplePos x="0" y="0"/>
            <wp:positionH relativeFrom="column">
              <wp:posOffset>2679700</wp:posOffset>
            </wp:positionH>
            <wp:positionV relativeFrom="paragraph">
              <wp:posOffset>348615</wp:posOffset>
            </wp:positionV>
            <wp:extent cx="3372485" cy="1668145"/>
            <wp:effectExtent l="19050" t="19050" r="18415" b="27305"/>
            <wp:wrapSquare wrapText="bothSides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2485" cy="166814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This again gives a non-significant result for the Shapiro-Wilk test</w:t>
      </w:r>
      <w:r w:rsidR="00477CBE">
        <w:t xml:space="preserve"> (see right)</w:t>
      </w:r>
      <w:r>
        <w:t>, indicating that we may accept the second assumption.</w:t>
      </w:r>
      <w:r w:rsidRPr="00C87E29">
        <w:rPr>
          <w:noProof/>
        </w:rPr>
        <w:t xml:space="preserve"> </w:t>
      </w:r>
    </w:p>
    <w:p w:rsidR="00107297" w:rsidRDefault="00107297" w:rsidP="00107297">
      <w:r>
        <w:t xml:space="preserve">To test the third assumption we need to use a </w:t>
      </w:r>
      <w:proofErr w:type="spellStart"/>
      <w:r>
        <w:t>Levene’s</w:t>
      </w:r>
      <w:proofErr w:type="spellEnd"/>
      <w:r>
        <w:t xml:space="preserve"> test for equality of variance which is contained within the ANOVA analysis in SPSS:</w:t>
      </w:r>
    </w:p>
    <w:p w:rsidR="00107297" w:rsidRPr="00477CBE" w:rsidRDefault="00107297" w:rsidP="00477CBE">
      <w:pPr>
        <w:pStyle w:val="ListParagraph"/>
        <w:numPr>
          <w:ilvl w:val="0"/>
          <w:numId w:val="8"/>
        </w:numPr>
        <w:ind w:left="284" w:hanging="284"/>
        <w:rPr>
          <w:szCs w:val="22"/>
        </w:rPr>
      </w:pPr>
      <w:r w:rsidRPr="00477CBE">
        <w:rPr>
          <w:szCs w:val="22"/>
        </w:rPr>
        <w:t xml:space="preserve">Select </w:t>
      </w:r>
      <w:proofErr w:type="spellStart"/>
      <w:r w:rsidRPr="00477CBE">
        <w:rPr>
          <w:szCs w:val="22"/>
        </w:rPr>
        <w:t>Analyze</w:t>
      </w:r>
      <w:proofErr w:type="spellEnd"/>
      <w:r w:rsidRPr="00477CBE">
        <w:rPr>
          <w:szCs w:val="22"/>
        </w:rPr>
        <w:t xml:space="preserve"> – Compare Means – One-Way ANOVA</w:t>
      </w:r>
    </w:p>
    <w:p w:rsidR="00107297" w:rsidRPr="00477CBE" w:rsidRDefault="00477CBE" w:rsidP="00477CBE">
      <w:pPr>
        <w:pStyle w:val="BodyText"/>
        <w:numPr>
          <w:ilvl w:val="0"/>
          <w:numId w:val="2"/>
        </w:numPr>
        <w:spacing w:after="120" w:line="264" w:lineRule="auto"/>
        <w:ind w:left="284" w:hanging="284"/>
        <w:rPr>
          <w:rFonts w:ascii="Arial" w:hAnsi="Arial" w:cs="Arial"/>
          <w:b w:val="0"/>
          <w:sz w:val="22"/>
          <w:szCs w:val="22"/>
        </w:rPr>
      </w:pPr>
      <w:r w:rsidRPr="00477CBE">
        <w:rPr>
          <w:noProof/>
          <w:sz w:val="22"/>
          <w:szCs w:val="22"/>
          <w:lang w:eastAsia="en-GB"/>
        </w:rPr>
        <w:drawing>
          <wp:anchor distT="0" distB="0" distL="114300" distR="114300" simplePos="0" relativeHeight="251664384" behindDoc="0" locked="0" layoutInCell="1" allowOverlap="1" wp14:anchorId="2029942E" wp14:editId="76267D60">
            <wp:simplePos x="0" y="0"/>
            <wp:positionH relativeFrom="column">
              <wp:posOffset>3487420</wp:posOffset>
            </wp:positionH>
            <wp:positionV relativeFrom="paragraph">
              <wp:posOffset>314325</wp:posOffset>
            </wp:positionV>
            <wp:extent cx="2557145" cy="865505"/>
            <wp:effectExtent l="19050" t="19050" r="14605" b="10795"/>
            <wp:wrapSquare wrapText="bothSides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7145" cy="86550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7297" w:rsidRPr="00477CBE">
        <w:rPr>
          <w:rFonts w:ascii="Arial" w:hAnsi="Arial" w:cs="Arial"/>
          <w:b w:val="0"/>
          <w:sz w:val="22"/>
          <w:szCs w:val="22"/>
        </w:rPr>
        <w:t xml:space="preserve">Select </w:t>
      </w:r>
      <w:r w:rsidR="00107297" w:rsidRPr="00477CBE">
        <w:rPr>
          <w:rFonts w:ascii="Arial" w:hAnsi="Arial" w:cs="Arial"/>
          <w:b w:val="0"/>
          <w:i/>
          <w:sz w:val="22"/>
          <w:szCs w:val="22"/>
        </w:rPr>
        <w:t>Strength</w:t>
      </w:r>
      <w:r w:rsidR="00107297" w:rsidRPr="00477CBE">
        <w:rPr>
          <w:rFonts w:ascii="Arial" w:hAnsi="Arial" w:cs="Arial"/>
          <w:b w:val="0"/>
          <w:sz w:val="22"/>
          <w:szCs w:val="22"/>
        </w:rPr>
        <w:t xml:space="preserve"> on the Dependent List and </w:t>
      </w:r>
      <w:r w:rsidR="00107297" w:rsidRPr="00477CBE">
        <w:rPr>
          <w:rFonts w:ascii="Arial" w:hAnsi="Arial" w:cs="Arial"/>
          <w:b w:val="0"/>
          <w:i/>
          <w:sz w:val="22"/>
          <w:szCs w:val="22"/>
        </w:rPr>
        <w:t>Concentration</w:t>
      </w:r>
      <w:r w:rsidR="00107297" w:rsidRPr="00477CBE">
        <w:rPr>
          <w:rFonts w:ascii="Arial" w:hAnsi="Arial" w:cs="Arial"/>
          <w:b w:val="0"/>
          <w:sz w:val="22"/>
          <w:szCs w:val="22"/>
        </w:rPr>
        <w:t xml:space="preserve"> on the Factor list</w:t>
      </w:r>
    </w:p>
    <w:p w:rsidR="00107297" w:rsidRPr="00477CBE" w:rsidRDefault="00107297" w:rsidP="00477CBE">
      <w:pPr>
        <w:pStyle w:val="BodyText"/>
        <w:numPr>
          <w:ilvl w:val="0"/>
          <w:numId w:val="2"/>
        </w:numPr>
        <w:spacing w:after="120" w:line="264" w:lineRule="auto"/>
        <w:ind w:left="284" w:hanging="284"/>
        <w:rPr>
          <w:rFonts w:ascii="Arial" w:hAnsi="Arial" w:cs="Arial"/>
          <w:b w:val="0"/>
          <w:sz w:val="22"/>
          <w:szCs w:val="22"/>
        </w:rPr>
      </w:pPr>
      <w:r w:rsidRPr="00477CBE">
        <w:rPr>
          <w:rFonts w:ascii="Arial" w:hAnsi="Arial" w:cs="Arial"/>
          <w:b w:val="0"/>
          <w:sz w:val="22"/>
          <w:szCs w:val="22"/>
        </w:rPr>
        <w:t>Select Options… then select Homogeneity of variance (</w:t>
      </w:r>
      <w:proofErr w:type="spellStart"/>
      <w:r w:rsidRPr="00477CBE">
        <w:rPr>
          <w:rFonts w:ascii="Arial" w:hAnsi="Arial" w:cs="Arial"/>
          <w:b w:val="0"/>
          <w:sz w:val="22"/>
          <w:szCs w:val="22"/>
        </w:rPr>
        <w:t>Levene's</w:t>
      </w:r>
      <w:proofErr w:type="spellEnd"/>
      <w:r w:rsidRPr="00477CBE">
        <w:rPr>
          <w:rFonts w:ascii="Arial" w:hAnsi="Arial" w:cs="Arial"/>
          <w:b w:val="0"/>
          <w:sz w:val="22"/>
          <w:szCs w:val="22"/>
        </w:rPr>
        <w:t>) test in the Statistics list</w:t>
      </w:r>
    </w:p>
    <w:p w:rsidR="00107297" w:rsidRDefault="00107297" w:rsidP="00477CBE">
      <w:r>
        <w:t>This produces the output shown on the right.</w:t>
      </w:r>
      <w:r w:rsidR="00E059B8">
        <w:t xml:space="preserve">  This is not significant at </w:t>
      </w:r>
      <w:r w:rsidR="00DC3D2C">
        <w:t xml:space="preserve">the </w:t>
      </w:r>
      <w:r w:rsidR="00E059B8">
        <w:t>0.05</w:t>
      </w:r>
      <w:r>
        <w:t xml:space="preserve"> </w:t>
      </w:r>
      <w:r w:rsidR="00DC3D2C">
        <w:t xml:space="preserve">level </w:t>
      </w:r>
      <w:bookmarkStart w:id="0" w:name="_GoBack"/>
      <w:bookmarkEnd w:id="0"/>
      <w:r>
        <w:t>so we may accept assumption 3.</w:t>
      </w:r>
    </w:p>
    <w:p w:rsidR="00357660" w:rsidRDefault="00357660" w:rsidP="00477CBE">
      <w:pPr>
        <w:rPr>
          <w:b/>
        </w:rPr>
      </w:pPr>
      <w:r w:rsidRPr="00357660">
        <w:rPr>
          <w:b/>
        </w:rPr>
        <w:t>Note</w:t>
      </w:r>
      <w:r>
        <w:t>: for robust use of ANOVA see the additional advice sheet.</w:t>
      </w:r>
    </w:p>
    <w:p w:rsidR="00107297" w:rsidRPr="00F22D62" w:rsidRDefault="00107297" w:rsidP="00477CBE">
      <w:pPr>
        <w:pStyle w:val="Heading2"/>
      </w:pPr>
      <w:r w:rsidRPr="00F22D62">
        <w:t>Running the ANOVA analysis</w:t>
      </w:r>
    </w:p>
    <w:p w:rsidR="00107297" w:rsidRDefault="00107297" w:rsidP="00107297">
      <w:pPr>
        <w:autoSpaceDE w:val="0"/>
        <w:autoSpaceDN w:val="0"/>
        <w:adjustRightInd w:val="0"/>
        <w:rPr>
          <w:noProof/>
        </w:rPr>
      </w:pPr>
      <w:r w:rsidRPr="00F22D62">
        <w:rPr>
          <w:noProof/>
          <w:lang w:eastAsia="en-GB"/>
        </w:rPr>
        <w:drawing>
          <wp:anchor distT="0" distB="0" distL="114300" distR="114300" simplePos="0" relativeHeight="251665408" behindDoc="0" locked="0" layoutInCell="1" allowOverlap="1" wp14:anchorId="6EA7E014" wp14:editId="394C53C8">
            <wp:simplePos x="0" y="0"/>
            <wp:positionH relativeFrom="column">
              <wp:posOffset>2207895</wp:posOffset>
            </wp:positionH>
            <wp:positionV relativeFrom="paragraph">
              <wp:posOffset>451485</wp:posOffset>
            </wp:positionV>
            <wp:extent cx="3863340" cy="1112520"/>
            <wp:effectExtent l="19050" t="19050" r="22860" b="11430"/>
            <wp:wrapSquare wrapText="bothSides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63340" cy="111252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Now that we have shown that all the assumptions of ANOVA can be accepted we can run the ANOVA analysis.  However, the required output table is already provided with the </w:t>
      </w:r>
      <w:proofErr w:type="spellStart"/>
      <w:r>
        <w:t>Levene’s</w:t>
      </w:r>
      <w:proofErr w:type="spellEnd"/>
      <w:r>
        <w:t xml:space="preserve"> test we already carried out.</w:t>
      </w:r>
    </w:p>
    <w:p w:rsidR="00107297" w:rsidRPr="0075018E" w:rsidRDefault="00107297" w:rsidP="000C3847">
      <w:pPr>
        <w:rPr>
          <w:b/>
        </w:rPr>
      </w:pPr>
      <w:r w:rsidRPr="0075018E">
        <w:t xml:space="preserve">The ANOVA table gives an F statistic </w:t>
      </w:r>
      <w:r>
        <w:t>of</w:t>
      </w:r>
      <w:r w:rsidRPr="0075018E">
        <w:t xml:space="preserve"> 19.61 and </w:t>
      </w:r>
      <w:r>
        <w:t xml:space="preserve">a </w:t>
      </w:r>
      <w:r w:rsidRPr="0075018E">
        <w:t>p</w:t>
      </w:r>
      <w:r>
        <w:t xml:space="preserve">-value of </w:t>
      </w:r>
      <w:r w:rsidRPr="0075018E">
        <w:t>&lt;</w:t>
      </w:r>
      <w:r>
        <w:t xml:space="preserve"> </w:t>
      </w:r>
      <w:r w:rsidRPr="0075018E">
        <w:t>0.001</w:t>
      </w:r>
      <w:r>
        <w:t xml:space="preserve"> (the value in the </w:t>
      </w:r>
      <w:r w:rsidRPr="00F22D62">
        <w:rPr>
          <w:i/>
        </w:rPr>
        <w:t>Sig.</w:t>
      </w:r>
      <w:r>
        <w:t xml:space="preserve"> column of 0.000 has been rounded to 3 decimal places and should </w:t>
      </w:r>
      <w:r w:rsidRPr="000E2C2E">
        <w:t>not</w:t>
      </w:r>
      <w:r>
        <w:t xml:space="preserve"> be quoted in this format).</w:t>
      </w:r>
      <w:r w:rsidRPr="0075018E">
        <w:t xml:space="preserve"> </w:t>
      </w:r>
      <w:r>
        <w:t xml:space="preserve"> Therefore we reject the null hypothesis </w:t>
      </w:r>
      <w:r w:rsidR="00357660">
        <w:t>(note: subtract the p-value threshold from 1 and multiply by 100</w:t>
      </w:r>
      <w:r w:rsidR="00C66FC5">
        <w:t xml:space="preserve"> to obtain the confidence level</w:t>
      </w:r>
      <w:r w:rsidR="00357660">
        <w:t xml:space="preserve">) </w:t>
      </w:r>
      <w:r>
        <w:t xml:space="preserve">and conclude that there is very strong evidence that the mean tensile strengths of the different groups are unequal.  However, we do not know which </w:t>
      </w:r>
      <w:r>
        <w:lastRenderedPageBreak/>
        <w:t xml:space="preserve">pairs of group mean differences are significantly different, if any.  This can be explored </w:t>
      </w:r>
      <w:r w:rsidRPr="0075018E">
        <w:t xml:space="preserve">by performing </w:t>
      </w:r>
      <w:r w:rsidRPr="000C3847">
        <w:rPr>
          <w:b/>
        </w:rPr>
        <w:t>post hoc tests</w:t>
      </w:r>
      <w:r w:rsidRPr="0075018E">
        <w:t>.</w:t>
      </w:r>
    </w:p>
    <w:p w:rsidR="00107297" w:rsidRPr="00ED6300" w:rsidRDefault="00107297" w:rsidP="000C3847">
      <w:pPr>
        <w:pStyle w:val="Heading1"/>
        <w:keepNext/>
      </w:pPr>
      <w:r w:rsidRPr="00ED6300">
        <w:t>Post hoc tests</w:t>
      </w:r>
    </w:p>
    <w:p w:rsidR="00107297" w:rsidRDefault="00107297" w:rsidP="000C3847">
      <w:pPr>
        <w:rPr>
          <w:b/>
        </w:rPr>
      </w:pPr>
      <w:r>
        <w:t xml:space="preserve">Post hoc test </w:t>
      </w:r>
      <w:r w:rsidRPr="0075018E">
        <w:t xml:space="preserve">are 'after the event' tests used to establish significant differences between pairs of means </w:t>
      </w:r>
      <w:r w:rsidRPr="004635E3">
        <w:t>after</w:t>
      </w:r>
      <w:r w:rsidRPr="0075018E">
        <w:t xml:space="preserve"> an ANOVA has been performed </w:t>
      </w:r>
      <w:r w:rsidRPr="004635E3">
        <w:t>and</w:t>
      </w:r>
      <w:r w:rsidRPr="0075018E">
        <w:t xml:space="preserve"> </w:t>
      </w:r>
      <w:r>
        <w:t xml:space="preserve">was </w:t>
      </w:r>
      <w:r w:rsidRPr="0075018E">
        <w:t xml:space="preserve">found to be statistically significant.  In effect they are variations on </w:t>
      </w:r>
      <w:r>
        <w:t xml:space="preserve">independent samples </w:t>
      </w:r>
      <w:r w:rsidRPr="0075018E">
        <w:t>t-tests comparing the pairs of means.</w:t>
      </w:r>
    </w:p>
    <w:p w:rsidR="00107297" w:rsidRDefault="00107297" w:rsidP="000C3847">
      <w:pPr>
        <w:rPr>
          <w:b/>
        </w:rPr>
      </w:pPr>
      <w:r>
        <w:t xml:space="preserve">The significance level needs to be adjusted in order to reduce the possibility of Type I errors.  This leads to </w:t>
      </w:r>
      <w:r w:rsidRPr="0075018E">
        <w:t xml:space="preserve">many choices </w:t>
      </w:r>
      <w:r>
        <w:t>of types of post hoc test.  Field (2009, p. 375) recommends the following:</w:t>
      </w:r>
    </w:p>
    <w:p w:rsidR="00107297" w:rsidRPr="000C3847" w:rsidRDefault="00107297" w:rsidP="000C3847">
      <w:pPr>
        <w:pStyle w:val="BodyText"/>
        <w:numPr>
          <w:ilvl w:val="0"/>
          <w:numId w:val="9"/>
        </w:numPr>
        <w:spacing w:after="120" w:line="264" w:lineRule="auto"/>
        <w:ind w:left="284" w:hanging="284"/>
        <w:rPr>
          <w:rFonts w:ascii="Arial" w:hAnsi="Arial" w:cs="Arial"/>
          <w:b w:val="0"/>
          <w:sz w:val="22"/>
          <w:szCs w:val="24"/>
        </w:rPr>
      </w:pPr>
      <w:r w:rsidRPr="000C3847">
        <w:rPr>
          <w:rFonts w:ascii="Arial" w:hAnsi="Arial" w:cs="Arial"/>
          <w:b w:val="0"/>
          <w:sz w:val="22"/>
          <w:szCs w:val="24"/>
        </w:rPr>
        <w:t xml:space="preserve">For equal group sizes and similar variances, use </w:t>
      </w:r>
      <w:proofErr w:type="spellStart"/>
      <w:r w:rsidRPr="000C3847">
        <w:rPr>
          <w:rFonts w:ascii="Arial" w:hAnsi="Arial" w:cs="Arial"/>
          <w:b w:val="0"/>
          <w:sz w:val="22"/>
          <w:szCs w:val="24"/>
        </w:rPr>
        <w:t>Tukey</w:t>
      </w:r>
      <w:proofErr w:type="spellEnd"/>
      <w:r w:rsidRPr="000C3847">
        <w:rPr>
          <w:rFonts w:ascii="Arial" w:hAnsi="Arial" w:cs="Arial"/>
          <w:b w:val="0"/>
          <w:sz w:val="22"/>
          <w:szCs w:val="24"/>
        </w:rPr>
        <w:t xml:space="preserve"> or, for guaranteed control over Type I errors (more conservative), use </w:t>
      </w:r>
      <w:proofErr w:type="spellStart"/>
      <w:r w:rsidRPr="000C3847">
        <w:rPr>
          <w:rFonts w:ascii="Arial" w:hAnsi="Arial" w:cs="Arial"/>
          <w:b w:val="0"/>
          <w:sz w:val="22"/>
          <w:szCs w:val="24"/>
        </w:rPr>
        <w:t>Bonferroni</w:t>
      </w:r>
      <w:proofErr w:type="spellEnd"/>
    </w:p>
    <w:p w:rsidR="00107297" w:rsidRPr="000C3847" w:rsidRDefault="00107297" w:rsidP="000C3847">
      <w:pPr>
        <w:pStyle w:val="BodyText"/>
        <w:numPr>
          <w:ilvl w:val="0"/>
          <w:numId w:val="9"/>
        </w:numPr>
        <w:spacing w:after="120" w:line="264" w:lineRule="auto"/>
        <w:ind w:left="284" w:hanging="284"/>
        <w:rPr>
          <w:rFonts w:ascii="Arial" w:hAnsi="Arial" w:cs="Arial"/>
          <w:b w:val="0"/>
          <w:sz w:val="22"/>
          <w:szCs w:val="24"/>
        </w:rPr>
      </w:pPr>
      <w:r w:rsidRPr="000C3847">
        <w:rPr>
          <w:rFonts w:ascii="Arial" w:hAnsi="Arial" w:cs="Arial"/>
          <w:b w:val="0"/>
          <w:sz w:val="22"/>
          <w:szCs w:val="24"/>
        </w:rPr>
        <w:t>For slightly different group sizes, use Gabriel</w:t>
      </w:r>
    </w:p>
    <w:p w:rsidR="00107297" w:rsidRPr="000C3847" w:rsidRDefault="00107297" w:rsidP="000C3847">
      <w:pPr>
        <w:pStyle w:val="BodyText"/>
        <w:numPr>
          <w:ilvl w:val="0"/>
          <w:numId w:val="9"/>
        </w:numPr>
        <w:spacing w:after="120" w:line="264" w:lineRule="auto"/>
        <w:ind w:left="284" w:hanging="284"/>
        <w:rPr>
          <w:rFonts w:ascii="Arial" w:hAnsi="Arial" w:cs="Arial"/>
          <w:b w:val="0"/>
          <w:sz w:val="22"/>
          <w:szCs w:val="24"/>
        </w:rPr>
      </w:pPr>
      <w:r w:rsidRPr="000C3847">
        <w:rPr>
          <w:rFonts w:ascii="Arial" w:hAnsi="Arial" w:cs="Arial"/>
          <w:b w:val="0"/>
          <w:sz w:val="22"/>
          <w:szCs w:val="24"/>
        </w:rPr>
        <w:t>For very different group sizes, use Hochberg’s GT2</w:t>
      </w:r>
    </w:p>
    <w:p w:rsidR="00107297" w:rsidRPr="000C3847" w:rsidRDefault="00107297" w:rsidP="000C3847">
      <w:pPr>
        <w:pStyle w:val="BodyText"/>
        <w:spacing w:after="120" w:line="264" w:lineRule="auto"/>
        <w:rPr>
          <w:rFonts w:ascii="Arial" w:hAnsi="Arial" w:cs="Arial"/>
          <w:b w:val="0"/>
          <w:sz w:val="22"/>
          <w:szCs w:val="22"/>
        </w:rPr>
      </w:pPr>
      <w:r w:rsidRPr="000C3847">
        <w:rPr>
          <w:rFonts w:ascii="Arial" w:hAnsi="Arial" w:cs="Arial"/>
          <w:b w:val="0"/>
          <w:sz w:val="22"/>
          <w:szCs w:val="22"/>
        </w:rPr>
        <w:t xml:space="preserve">For example we had equal group sizes so we shall use </w:t>
      </w:r>
      <w:proofErr w:type="spellStart"/>
      <w:r w:rsidRPr="000C3847">
        <w:rPr>
          <w:rFonts w:ascii="Arial" w:hAnsi="Arial" w:cs="Arial"/>
          <w:b w:val="0"/>
          <w:sz w:val="22"/>
          <w:szCs w:val="22"/>
        </w:rPr>
        <w:t>Tukey</w:t>
      </w:r>
      <w:proofErr w:type="spellEnd"/>
      <w:r w:rsidRPr="000C3847">
        <w:rPr>
          <w:rFonts w:ascii="Arial" w:hAnsi="Arial" w:cs="Arial"/>
          <w:b w:val="0"/>
          <w:sz w:val="22"/>
          <w:szCs w:val="22"/>
        </w:rPr>
        <w:t xml:space="preserve"> and </w:t>
      </w:r>
      <w:proofErr w:type="spellStart"/>
      <w:r w:rsidRPr="000C3847">
        <w:rPr>
          <w:rFonts w:ascii="Arial" w:hAnsi="Arial" w:cs="Arial"/>
          <w:b w:val="0"/>
          <w:sz w:val="22"/>
          <w:szCs w:val="22"/>
        </w:rPr>
        <w:t>Bonferroni</w:t>
      </w:r>
      <w:proofErr w:type="spellEnd"/>
      <w:r w:rsidRPr="000C3847">
        <w:rPr>
          <w:rFonts w:ascii="Arial" w:hAnsi="Arial" w:cs="Arial"/>
          <w:b w:val="0"/>
          <w:sz w:val="22"/>
          <w:szCs w:val="22"/>
        </w:rPr>
        <w:t>:</w:t>
      </w:r>
    </w:p>
    <w:p w:rsidR="00107297" w:rsidRPr="000C3847" w:rsidRDefault="00107297" w:rsidP="000C3847">
      <w:pPr>
        <w:pStyle w:val="ListParagraph"/>
        <w:numPr>
          <w:ilvl w:val="0"/>
          <w:numId w:val="8"/>
        </w:numPr>
        <w:ind w:left="284" w:hanging="284"/>
        <w:rPr>
          <w:szCs w:val="22"/>
        </w:rPr>
      </w:pPr>
      <w:r w:rsidRPr="000C3847">
        <w:rPr>
          <w:szCs w:val="22"/>
        </w:rPr>
        <w:t xml:space="preserve">Select </w:t>
      </w:r>
      <w:proofErr w:type="spellStart"/>
      <w:r w:rsidRPr="000C3847">
        <w:rPr>
          <w:szCs w:val="22"/>
        </w:rPr>
        <w:t>Analyze</w:t>
      </w:r>
      <w:proofErr w:type="spellEnd"/>
      <w:r w:rsidRPr="000C3847">
        <w:rPr>
          <w:szCs w:val="22"/>
        </w:rPr>
        <w:t xml:space="preserve"> – Compare Means – One-Way ANOVA</w:t>
      </w:r>
    </w:p>
    <w:p w:rsidR="00107297" w:rsidRPr="000C3847" w:rsidRDefault="00107297" w:rsidP="000C3847">
      <w:pPr>
        <w:pStyle w:val="BodyText"/>
        <w:numPr>
          <w:ilvl w:val="0"/>
          <w:numId w:val="2"/>
        </w:numPr>
        <w:spacing w:after="120" w:line="264" w:lineRule="auto"/>
        <w:ind w:left="284" w:hanging="284"/>
        <w:rPr>
          <w:rFonts w:ascii="Arial" w:hAnsi="Arial" w:cs="Arial"/>
          <w:b w:val="0"/>
          <w:sz w:val="22"/>
          <w:szCs w:val="22"/>
        </w:rPr>
      </w:pPr>
      <w:r w:rsidRPr="000C3847">
        <w:rPr>
          <w:rFonts w:ascii="Arial" w:hAnsi="Arial" w:cs="Arial"/>
          <w:b w:val="0"/>
          <w:sz w:val="22"/>
          <w:szCs w:val="22"/>
        </w:rPr>
        <w:t xml:space="preserve">Select </w:t>
      </w:r>
      <w:r w:rsidRPr="000C3847">
        <w:rPr>
          <w:rFonts w:ascii="Arial" w:hAnsi="Arial" w:cs="Arial"/>
          <w:b w:val="0"/>
          <w:i/>
          <w:sz w:val="22"/>
          <w:szCs w:val="22"/>
        </w:rPr>
        <w:t>Strength</w:t>
      </w:r>
      <w:r w:rsidRPr="000C3847">
        <w:rPr>
          <w:rFonts w:ascii="Arial" w:hAnsi="Arial" w:cs="Arial"/>
          <w:b w:val="0"/>
          <w:sz w:val="22"/>
          <w:szCs w:val="22"/>
        </w:rPr>
        <w:t xml:space="preserve"> on the Dependent List and </w:t>
      </w:r>
      <w:r w:rsidRPr="000C3847">
        <w:rPr>
          <w:rFonts w:ascii="Arial" w:hAnsi="Arial" w:cs="Arial"/>
          <w:b w:val="0"/>
          <w:i/>
          <w:sz w:val="22"/>
          <w:szCs w:val="22"/>
        </w:rPr>
        <w:t>Concentration</w:t>
      </w:r>
      <w:r w:rsidRPr="000C3847">
        <w:rPr>
          <w:rFonts w:ascii="Arial" w:hAnsi="Arial" w:cs="Arial"/>
          <w:b w:val="0"/>
          <w:sz w:val="22"/>
          <w:szCs w:val="22"/>
        </w:rPr>
        <w:t xml:space="preserve"> on the Factor list</w:t>
      </w:r>
    </w:p>
    <w:p w:rsidR="00107297" w:rsidRPr="000C3847" w:rsidRDefault="00107297" w:rsidP="000C3847">
      <w:pPr>
        <w:pStyle w:val="BodyText"/>
        <w:numPr>
          <w:ilvl w:val="0"/>
          <w:numId w:val="4"/>
        </w:numPr>
        <w:spacing w:after="120" w:line="264" w:lineRule="auto"/>
        <w:ind w:left="284" w:hanging="284"/>
        <w:rPr>
          <w:rFonts w:ascii="Arial" w:hAnsi="Arial" w:cs="Arial"/>
          <w:b w:val="0"/>
          <w:sz w:val="22"/>
          <w:szCs w:val="22"/>
        </w:rPr>
      </w:pPr>
      <w:r w:rsidRPr="000C3847">
        <w:rPr>
          <w:rFonts w:ascii="Arial" w:hAnsi="Arial" w:cs="Arial"/>
          <w:b w:val="0"/>
          <w:sz w:val="22"/>
          <w:szCs w:val="22"/>
        </w:rPr>
        <w:t>Select the Post Hoc… button in the One-way ANOVA Dialog box</w:t>
      </w:r>
    </w:p>
    <w:p w:rsidR="00107297" w:rsidRPr="000C3847" w:rsidRDefault="00107297" w:rsidP="000C3847">
      <w:pPr>
        <w:pStyle w:val="BodyText"/>
        <w:numPr>
          <w:ilvl w:val="0"/>
          <w:numId w:val="4"/>
        </w:numPr>
        <w:spacing w:after="120" w:line="264" w:lineRule="auto"/>
        <w:ind w:left="284" w:hanging="284"/>
        <w:rPr>
          <w:rFonts w:ascii="Arial" w:hAnsi="Arial" w:cs="Arial"/>
          <w:b w:val="0"/>
          <w:sz w:val="22"/>
          <w:szCs w:val="22"/>
        </w:rPr>
      </w:pPr>
      <w:r w:rsidRPr="000C3847">
        <w:rPr>
          <w:rFonts w:ascii="Arial" w:hAnsi="Arial" w:cs="Arial"/>
          <w:b w:val="0"/>
          <w:sz w:val="22"/>
          <w:szCs w:val="22"/>
        </w:rPr>
        <w:t xml:space="preserve">Select </w:t>
      </w:r>
      <w:proofErr w:type="spellStart"/>
      <w:r w:rsidRPr="000C3847">
        <w:rPr>
          <w:rFonts w:ascii="Arial" w:hAnsi="Arial" w:cs="Arial"/>
          <w:b w:val="0"/>
          <w:sz w:val="22"/>
          <w:szCs w:val="22"/>
        </w:rPr>
        <w:t>Tukey</w:t>
      </w:r>
      <w:proofErr w:type="spellEnd"/>
      <w:r w:rsidRPr="000C3847">
        <w:rPr>
          <w:rFonts w:ascii="Arial" w:hAnsi="Arial" w:cs="Arial"/>
          <w:b w:val="0"/>
          <w:sz w:val="22"/>
          <w:szCs w:val="22"/>
        </w:rPr>
        <w:t xml:space="preserve"> and </w:t>
      </w:r>
      <w:proofErr w:type="spellStart"/>
      <w:r w:rsidRPr="000C3847">
        <w:rPr>
          <w:rFonts w:ascii="Arial" w:hAnsi="Arial" w:cs="Arial"/>
          <w:b w:val="0"/>
          <w:sz w:val="22"/>
          <w:szCs w:val="22"/>
        </w:rPr>
        <w:t>Bonferroni</w:t>
      </w:r>
      <w:proofErr w:type="spellEnd"/>
    </w:p>
    <w:p w:rsidR="00107297" w:rsidRPr="000C3847" w:rsidRDefault="00107297" w:rsidP="000C3847">
      <w:pPr>
        <w:pStyle w:val="BodyText"/>
        <w:spacing w:after="80" w:line="264" w:lineRule="auto"/>
        <w:rPr>
          <w:rFonts w:ascii="Arial" w:hAnsi="Arial" w:cs="Arial"/>
          <w:b w:val="0"/>
          <w:sz w:val="22"/>
          <w:szCs w:val="22"/>
        </w:rPr>
      </w:pPr>
      <w:r w:rsidRPr="000C3847">
        <w:rPr>
          <w:rFonts w:ascii="Arial" w:hAnsi="Arial" w:cs="Arial"/>
          <w:b w:val="0"/>
          <w:sz w:val="22"/>
          <w:szCs w:val="22"/>
        </w:rPr>
        <w:t>The SPSS output indicates statistically significant differences in mean strength between:</w:t>
      </w:r>
    </w:p>
    <w:p w:rsidR="00107297" w:rsidRPr="000C3847" w:rsidRDefault="00107297" w:rsidP="000C3847">
      <w:pPr>
        <w:pStyle w:val="BodyText"/>
        <w:numPr>
          <w:ilvl w:val="0"/>
          <w:numId w:val="5"/>
        </w:numPr>
        <w:spacing w:after="80" w:line="264" w:lineRule="auto"/>
        <w:ind w:left="284" w:hanging="284"/>
        <w:rPr>
          <w:rFonts w:ascii="Arial" w:hAnsi="Arial" w:cs="Arial"/>
          <w:b w:val="0"/>
          <w:sz w:val="22"/>
          <w:szCs w:val="22"/>
        </w:rPr>
      </w:pPr>
      <w:r w:rsidRPr="000C3847">
        <w:rPr>
          <w:rFonts w:ascii="Arial" w:hAnsi="Arial" w:cs="Arial"/>
          <w:b w:val="0"/>
          <w:sz w:val="22"/>
          <w:szCs w:val="22"/>
        </w:rPr>
        <w:t>5% and 10% (p &lt; 0.01 for both methods)</w:t>
      </w:r>
    </w:p>
    <w:p w:rsidR="00107297" w:rsidRPr="000C3847" w:rsidRDefault="00107297" w:rsidP="000C3847">
      <w:pPr>
        <w:pStyle w:val="BodyText"/>
        <w:numPr>
          <w:ilvl w:val="0"/>
          <w:numId w:val="5"/>
        </w:numPr>
        <w:spacing w:after="80" w:line="264" w:lineRule="auto"/>
        <w:ind w:left="284" w:hanging="284"/>
        <w:rPr>
          <w:rFonts w:ascii="Arial" w:hAnsi="Arial" w:cs="Arial"/>
          <w:b w:val="0"/>
          <w:sz w:val="22"/>
          <w:szCs w:val="22"/>
        </w:rPr>
      </w:pPr>
      <w:r w:rsidRPr="000C3847">
        <w:rPr>
          <w:rFonts w:ascii="Arial" w:hAnsi="Arial" w:cs="Arial"/>
          <w:b w:val="0"/>
          <w:sz w:val="22"/>
          <w:szCs w:val="22"/>
        </w:rPr>
        <w:t>5% and 15% (p &lt; 0.001 for both methods)</w:t>
      </w:r>
    </w:p>
    <w:p w:rsidR="00107297" w:rsidRPr="000C3847" w:rsidRDefault="00107297" w:rsidP="000C3847">
      <w:pPr>
        <w:pStyle w:val="BodyText"/>
        <w:numPr>
          <w:ilvl w:val="0"/>
          <w:numId w:val="5"/>
        </w:numPr>
        <w:spacing w:after="80" w:line="264" w:lineRule="auto"/>
        <w:ind w:left="284" w:hanging="284"/>
        <w:rPr>
          <w:rFonts w:ascii="Arial" w:hAnsi="Arial" w:cs="Arial"/>
          <w:b w:val="0"/>
          <w:sz w:val="22"/>
          <w:szCs w:val="22"/>
        </w:rPr>
      </w:pPr>
      <w:r w:rsidRPr="000C3847">
        <w:rPr>
          <w:rFonts w:ascii="Arial" w:hAnsi="Arial" w:cs="Arial"/>
          <w:b w:val="0"/>
          <w:sz w:val="22"/>
          <w:szCs w:val="22"/>
        </w:rPr>
        <w:t>5% and 20% (p &lt; 0.001 for both methods)</w:t>
      </w:r>
    </w:p>
    <w:p w:rsidR="00107297" w:rsidRPr="000C3847" w:rsidRDefault="00107297" w:rsidP="000C3847">
      <w:pPr>
        <w:pStyle w:val="BodyText"/>
        <w:numPr>
          <w:ilvl w:val="0"/>
          <w:numId w:val="5"/>
        </w:numPr>
        <w:spacing w:after="80" w:line="264" w:lineRule="auto"/>
        <w:ind w:left="284" w:hanging="284"/>
        <w:rPr>
          <w:rFonts w:ascii="Arial" w:hAnsi="Arial" w:cs="Arial"/>
          <w:b w:val="0"/>
          <w:sz w:val="22"/>
          <w:szCs w:val="22"/>
        </w:rPr>
      </w:pPr>
      <w:r w:rsidRPr="000C3847">
        <w:rPr>
          <w:rFonts w:ascii="Arial" w:hAnsi="Arial" w:cs="Arial"/>
          <w:b w:val="0"/>
          <w:sz w:val="22"/>
          <w:szCs w:val="22"/>
        </w:rPr>
        <w:t>10% and 20% (p &lt; 0.01 for both methods)</w:t>
      </w:r>
    </w:p>
    <w:p w:rsidR="00107297" w:rsidRPr="000C3847" w:rsidRDefault="00107297" w:rsidP="000C3847">
      <w:pPr>
        <w:pStyle w:val="BodyText"/>
        <w:numPr>
          <w:ilvl w:val="0"/>
          <w:numId w:val="5"/>
        </w:numPr>
        <w:spacing w:after="120" w:line="264" w:lineRule="auto"/>
        <w:ind w:left="284" w:hanging="284"/>
        <w:rPr>
          <w:rFonts w:ascii="Arial" w:hAnsi="Arial" w:cs="Arial"/>
          <w:b w:val="0"/>
          <w:sz w:val="22"/>
          <w:szCs w:val="22"/>
        </w:rPr>
      </w:pPr>
      <w:r w:rsidRPr="000C3847">
        <w:rPr>
          <w:rFonts w:ascii="Arial" w:hAnsi="Arial" w:cs="Arial"/>
          <w:b w:val="0"/>
          <w:sz w:val="22"/>
          <w:szCs w:val="22"/>
        </w:rPr>
        <w:t xml:space="preserve">15% and 20% (p &lt; 0.05 for </w:t>
      </w:r>
      <w:proofErr w:type="spellStart"/>
      <w:r w:rsidRPr="000C3847">
        <w:rPr>
          <w:rFonts w:ascii="Arial" w:hAnsi="Arial" w:cs="Arial"/>
          <w:b w:val="0"/>
          <w:sz w:val="22"/>
          <w:szCs w:val="22"/>
        </w:rPr>
        <w:t>Tukey</w:t>
      </w:r>
      <w:proofErr w:type="spellEnd"/>
      <w:r w:rsidRPr="000C3847">
        <w:rPr>
          <w:rFonts w:ascii="Arial" w:hAnsi="Arial" w:cs="Arial"/>
          <w:b w:val="0"/>
          <w:sz w:val="22"/>
          <w:szCs w:val="22"/>
        </w:rPr>
        <w:t xml:space="preserve"> only)</w:t>
      </w:r>
    </w:p>
    <w:p w:rsidR="00107297" w:rsidRPr="000C3847" w:rsidRDefault="00107297" w:rsidP="000C3847">
      <w:pPr>
        <w:pStyle w:val="BodyText"/>
        <w:spacing w:after="120" w:line="264" w:lineRule="auto"/>
        <w:rPr>
          <w:rFonts w:ascii="Arial" w:hAnsi="Arial" w:cs="Arial"/>
          <w:b w:val="0"/>
          <w:sz w:val="22"/>
          <w:szCs w:val="22"/>
        </w:rPr>
      </w:pPr>
      <w:r w:rsidRPr="000C3847">
        <w:rPr>
          <w:rFonts w:ascii="Arial" w:hAnsi="Arial" w:cs="Arial"/>
          <w:b w:val="0"/>
          <w:sz w:val="22"/>
          <w:szCs w:val="22"/>
        </w:rPr>
        <w:t xml:space="preserve">However, there was no statistically significant difference between 10% and 15% for either method or between 15% and 20% with </w:t>
      </w:r>
      <w:proofErr w:type="spellStart"/>
      <w:r w:rsidRPr="000C3847">
        <w:rPr>
          <w:rFonts w:ascii="Arial" w:hAnsi="Arial" w:cs="Arial"/>
          <w:b w:val="0"/>
          <w:sz w:val="22"/>
          <w:szCs w:val="22"/>
        </w:rPr>
        <w:t>Bonferroni</w:t>
      </w:r>
      <w:proofErr w:type="spellEnd"/>
      <w:r w:rsidRPr="000C3847">
        <w:rPr>
          <w:rFonts w:ascii="Arial" w:hAnsi="Arial" w:cs="Arial"/>
          <w:b w:val="0"/>
          <w:sz w:val="22"/>
          <w:szCs w:val="22"/>
        </w:rPr>
        <w:t>.</w:t>
      </w:r>
    </w:p>
    <w:p w:rsidR="00107297" w:rsidRPr="00C66FC5" w:rsidRDefault="00107297" w:rsidP="00C66FC5">
      <w:pPr>
        <w:pStyle w:val="Heading2"/>
      </w:pPr>
      <w:r w:rsidRPr="000C3847">
        <w:t>Note:</w:t>
      </w:r>
      <w:r w:rsidR="00C66FC5">
        <w:t xml:space="preserve"> </w:t>
      </w:r>
      <w:r w:rsidRPr="000C3847">
        <w:rPr>
          <w:b w:val="0"/>
          <w:sz w:val="22"/>
          <w:szCs w:val="22"/>
        </w:rPr>
        <w:t xml:space="preserve">Four </w:t>
      </w:r>
      <w:proofErr w:type="gramStart"/>
      <w:r w:rsidRPr="000C3847">
        <w:rPr>
          <w:b w:val="0"/>
          <w:sz w:val="22"/>
          <w:szCs w:val="22"/>
        </w:rPr>
        <w:t>groups</w:t>
      </w:r>
      <w:proofErr w:type="gramEnd"/>
      <w:r w:rsidRPr="000C3847">
        <w:rPr>
          <w:b w:val="0"/>
          <w:sz w:val="22"/>
          <w:szCs w:val="22"/>
        </w:rPr>
        <w:t xml:space="preserve"> gives six pairs with each listed twice for both methods</w:t>
      </w:r>
    </w:p>
    <w:p w:rsidR="00107297" w:rsidRDefault="00107297" w:rsidP="00C66FC5">
      <w:pPr>
        <w:pStyle w:val="BodyText"/>
        <w:spacing w:line="264" w:lineRule="auto"/>
        <w:rPr>
          <w:rFonts w:ascii="Arial" w:hAnsi="Arial" w:cs="Arial"/>
          <w:b w:val="0"/>
          <w:sz w:val="22"/>
          <w:szCs w:val="22"/>
        </w:rPr>
      </w:pPr>
    </w:p>
    <w:p w:rsidR="00C66FC5" w:rsidRDefault="00C66FC5" w:rsidP="00C66FC5">
      <w:pPr>
        <w:pStyle w:val="BodyText"/>
        <w:spacing w:line="264" w:lineRule="auto"/>
        <w:rPr>
          <w:rFonts w:ascii="Arial" w:hAnsi="Arial" w:cs="Arial"/>
          <w:b w:val="0"/>
          <w:sz w:val="22"/>
          <w:szCs w:val="22"/>
        </w:rPr>
      </w:pPr>
    </w:p>
    <w:p w:rsidR="000C3847" w:rsidRPr="004635E3" w:rsidRDefault="000C3847" w:rsidP="000C3847">
      <w:pPr>
        <w:pStyle w:val="Heading1"/>
      </w:pPr>
      <w:r w:rsidRPr="004635E3">
        <w:t>Reference</w:t>
      </w:r>
    </w:p>
    <w:p w:rsidR="000C3847" w:rsidRPr="000C3847" w:rsidRDefault="000C3847" w:rsidP="000C3847">
      <w:pPr>
        <w:ind w:left="567" w:hanging="567"/>
      </w:pPr>
      <w:r w:rsidRPr="004635E3">
        <w:t xml:space="preserve">Field, A. (2009) </w:t>
      </w:r>
      <w:r w:rsidRPr="000C3847">
        <w:rPr>
          <w:i/>
        </w:rPr>
        <w:t>Discovering Statistics using SPSS (And sex and drugs and rock 'n' roll)</w:t>
      </w:r>
      <w:r>
        <w:t>, 3</w:t>
      </w:r>
      <w:r w:rsidRPr="000C3847">
        <w:rPr>
          <w:vertAlign w:val="superscript"/>
        </w:rPr>
        <w:t>rd</w:t>
      </w:r>
      <w:r>
        <w:t xml:space="preserve"> ed., London: SAGE.</w:t>
      </w:r>
    </w:p>
    <w:sectPr w:rsidR="000C3847" w:rsidRPr="000C3847" w:rsidSect="000734E8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440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6B81" w:rsidRDefault="005F6B81" w:rsidP="00A76DB3">
      <w:r>
        <w:separator/>
      </w:r>
    </w:p>
    <w:p w:rsidR="005F6B81" w:rsidRDefault="005F6B81" w:rsidP="00A76DB3"/>
    <w:p w:rsidR="005F6B81" w:rsidRDefault="005F6B81" w:rsidP="00A76DB3"/>
  </w:endnote>
  <w:endnote w:type="continuationSeparator" w:id="0">
    <w:p w:rsidR="005F6B81" w:rsidRDefault="005F6B81" w:rsidP="00A76DB3">
      <w:r>
        <w:continuationSeparator/>
      </w:r>
    </w:p>
    <w:p w:rsidR="005F6B81" w:rsidRDefault="005F6B81" w:rsidP="00A76DB3"/>
    <w:p w:rsidR="005F6B81" w:rsidRDefault="005F6B81" w:rsidP="00A76D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2139" w:rsidRPr="00C0592A" w:rsidRDefault="0083698C" w:rsidP="00A76DB3">
    <w:pPr>
      <w:pStyle w:val="Footer"/>
      <w:tabs>
        <w:tab w:val="clear" w:pos="4513"/>
        <w:tab w:val="clear" w:pos="9026"/>
        <w:tab w:val="center" w:pos="4678"/>
        <w:tab w:val="right" w:pos="9639"/>
      </w:tabs>
      <w:spacing w:line="240" w:lineRule="auto"/>
    </w:pPr>
    <w:r w:rsidRPr="00C0592A">
      <w:t xml:space="preserve">    </w:t>
    </w:r>
    <w:r w:rsidR="000734E8" w:rsidRPr="00C0592A">
      <w:rPr>
        <w:noProof/>
        <w:lang w:eastAsia="en-GB"/>
      </w:rPr>
      <w:drawing>
        <wp:inline distT="0" distB="0" distL="0" distR="0" wp14:anchorId="60005F75" wp14:editId="095AEF76">
          <wp:extent cx="1045521" cy="372269"/>
          <wp:effectExtent l="0" t="0" r="2540" b="8890"/>
          <wp:docPr id="8" name="Picture 8" descr="by-nc-s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y-nc-s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6204" cy="37607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C0592A">
      <w:tab/>
    </w:r>
    <w:r w:rsidR="008C2139" w:rsidRPr="00C0592A">
      <w:t xml:space="preserve">© </w:t>
    </w:r>
    <w:r w:rsidR="00107297">
      <w:t xml:space="preserve">Mollie Gilchrist and </w:t>
    </w:r>
    <w:r w:rsidR="008C2139">
      <w:t>Peter Samuels</w:t>
    </w:r>
    <w:r w:rsidR="008C2139">
      <w:tab/>
      <w:t>Reviewer: Ellen Marshall</w:t>
    </w:r>
  </w:p>
  <w:p w:rsidR="0083698C" w:rsidRDefault="008C2139" w:rsidP="00A76DB3">
    <w:pPr>
      <w:pStyle w:val="Footer"/>
      <w:tabs>
        <w:tab w:val="clear" w:pos="4513"/>
        <w:tab w:val="clear" w:pos="9026"/>
        <w:tab w:val="center" w:pos="4678"/>
        <w:tab w:val="right" w:pos="9639"/>
      </w:tabs>
      <w:spacing w:line="240" w:lineRule="auto"/>
    </w:pPr>
    <w:r>
      <w:t xml:space="preserve">  </w:t>
    </w:r>
    <w:r w:rsidRPr="00C0592A">
      <w:t>www.statstutor.ac.uk</w:t>
    </w:r>
    <w:r w:rsidRPr="00C0592A">
      <w:tab/>
    </w:r>
    <w:r>
      <w:t>Birmingham City University</w:t>
    </w:r>
    <w:r w:rsidRPr="00C0592A">
      <w:tab/>
    </w:r>
    <w:proofErr w:type="spellStart"/>
    <w:r>
      <w:t>University</w:t>
    </w:r>
    <w:proofErr w:type="spellEnd"/>
    <w:r>
      <w:t xml:space="preserve"> of Sheffield</w:t>
    </w:r>
  </w:p>
  <w:p w:rsidR="00107297" w:rsidRPr="00107297" w:rsidRDefault="00107297" w:rsidP="00107297">
    <w:pPr>
      <w:pStyle w:val="Footer"/>
      <w:spacing w:before="120"/>
      <w:jc w:val="center"/>
      <w:rPr>
        <w:sz w:val="20"/>
      </w:rPr>
    </w:pPr>
    <w:r w:rsidRPr="00F51D3F">
      <w:rPr>
        <w:sz w:val="20"/>
      </w:rPr>
      <w:t>Based on material provided by Loughborough University Mathematics Learning Support Centre and Coventry University Mathematics Support Centre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98C" w:rsidRPr="00C0592A" w:rsidRDefault="0083698C" w:rsidP="00A76DB3">
    <w:pPr>
      <w:pStyle w:val="Footer"/>
      <w:tabs>
        <w:tab w:val="clear" w:pos="4513"/>
        <w:tab w:val="clear" w:pos="9026"/>
        <w:tab w:val="center" w:pos="4678"/>
        <w:tab w:val="right" w:pos="9639"/>
      </w:tabs>
      <w:spacing w:line="240" w:lineRule="auto"/>
    </w:pPr>
    <w:r w:rsidRPr="00C0592A">
      <w:t xml:space="preserve">    </w:t>
    </w:r>
    <w:r w:rsidRPr="00C0592A">
      <w:rPr>
        <w:noProof/>
        <w:lang w:eastAsia="en-GB"/>
      </w:rPr>
      <w:drawing>
        <wp:inline distT="0" distB="0" distL="0" distR="0" wp14:anchorId="1D03B57B" wp14:editId="3255E6C2">
          <wp:extent cx="1045521" cy="372269"/>
          <wp:effectExtent l="0" t="0" r="2540" b="8890"/>
          <wp:docPr id="10" name="Picture 10" descr="by-nc-s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y-nc-s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6204" cy="37607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C0592A">
      <w:tab/>
      <w:t xml:space="preserve">© </w:t>
    </w:r>
    <w:r w:rsidR="00107297">
      <w:t xml:space="preserve">Mollie Gilchrist and </w:t>
    </w:r>
    <w:r w:rsidR="008C2139">
      <w:t>Peter Samuels</w:t>
    </w:r>
    <w:r w:rsidR="008C2139">
      <w:tab/>
      <w:t>Reviewer: Ellen Marshall</w:t>
    </w:r>
  </w:p>
  <w:p w:rsidR="0083698C" w:rsidRDefault="000734E8" w:rsidP="00A76DB3">
    <w:pPr>
      <w:pStyle w:val="Footer"/>
      <w:tabs>
        <w:tab w:val="clear" w:pos="4513"/>
        <w:tab w:val="clear" w:pos="9026"/>
        <w:tab w:val="center" w:pos="4678"/>
        <w:tab w:val="right" w:pos="9639"/>
      </w:tabs>
      <w:spacing w:line="240" w:lineRule="auto"/>
    </w:pPr>
    <w:r>
      <w:t xml:space="preserve">  </w:t>
    </w:r>
    <w:r w:rsidR="0083698C" w:rsidRPr="00C0592A">
      <w:t>www.statstutor.ac.uk</w:t>
    </w:r>
    <w:r w:rsidR="0083698C" w:rsidRPr="00C0592A">
      <w:tab/>
    </w:r>
    <w:r w:rsidR="008C2139">
      <w:t>Birmingham City University</w:t>
    </w:r>
    <w:r w:rsidR="0083698C" w:rsidRPr="00C0592A">
      <w:tab/>
    </w:r>
    <w:proofErr w:type="spellStart"/>
    <w:r w:rsidR="008C2139">
      <w:t>University</w:t>
    </w:r>
    <w:proofErr w:type="spellEnd"/>
    <w:r w:rsidR="008C2139">
      <w:t xml:space="preserve"> of Sheffield</w:t>
    </w:r>
  </w:p>
  <w:p w:rsidR="00107297" w:rsidRPr="00107297" w:rsidRDefault="00107297" w:rsidP="00107297">
    <w:pPr>
      <w:pStyle w:val="Footer"/>
      <w:spacing w:before="120"/>
      <w:jc w:val="center"/>
      <w:rPr>
        <w:sz w:val="20"/>
      </w:rPr>
    </w:pPr>
    <w:r w:rsidRPr="00F51D3F">
      <w:rPr>
        <w:sz w:val="20"/>
      </w:rPr>
      <w:t>Based on material provided by Loughborough University Mathematics Learning Support Centre and Coventry University Mathematics Support Centre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6B81" w:rsidRDefault="005F6B81" w:rsidP="00A76DB3">
      <w:r>
        <w:separator/>
      </w:r>
    </w:p>
    <w:p w:rsidR="005F6B81" w:rsidRDefault="005F6B81" w:rsidP="00A76DB3"/>
    <w:p w:rsidR="005F6B81" w:rsidRDefault="005F6B81" w:rsidP="00A76DB3"/>
  </w:footnote>
  <w:footnote w:type="continuationSeparator" w:id="0">
    <w:p w:rsidR="005F6B81" w:rsidRDefault="005F6B81" w:rsidP="00A76DB3">
      <w:r>
        <w:continuationSeparator/>
      </w:r>
    </w:p>
    <w:p w:rsidR="005F6B81" w:rsidRDefault="005F6B81" w:rsidP="00A76DB3"/>
    <w:p w:rsidR="005F6B81" w:rsidRDefault="005F6B81" w:rsidP="00A76DB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98C" w:rsidRPr="00C0592A" w:rsidRDefault="00107297" w:rsidP="00D118F6">
    <w:pPr>
      <w:pStyle w:val="Header"/>
      <w:tabs>
        <w:tab w:val="clear" w:pos="9026"/>
        <w:tab w:val="right" w:pos="9639"/>
      </w:tabs>
      <w:spacing w:line="240" w:lineRule="auto"/>
    </w:pPr>
    <w:r w:rsidRPr="00107297">
      <w:t>One-Way Analysis of Variance (ANOVA)</w:t>
    </w:r>
    <w:r w:rsidR="0083698C" w:rsidRPr="00C0592A">
      <w:tab/>
    </w:r>
    <w:r w:rsidR="0083698C" w:rsidRPr="00C0592A">
      <w:tab/>
    </w:r>
    <w:sdt>
      <w:sdtPr>
        <w:id w:val="836506043"/>
        <w:docPartObj>
          <w:docPartGallery w:val="Page Numbers (Top of Page)"/>
          <w:docPartUnique/>
        </w:docPartObj>
      </w:sdtPr>
      <w:sdtEndPr/>
      <w:sdtContent>
        <w:r w:rsidR="0083698C" w:rsidRPr="00C0592A">
          <w:t xml:space="preserve">Page </w:t>
        </w:r>
        <w:r w:rsidR="0083698C" w:rsidRPr="00C0592A">
          <w:rPr>
            <w:sz w:val="24"/>
          </w:rPr>
          <w:fldChar w:fldCharType="begin"/>
        </w:r>
        <w:r w:rsidR="0083698C" w:rsidRPr="00C0592A">
          <w:instrText xml:space="preserve"> PAGE </w:instrText>
        </w:r>
        <w:r w:rsidR="0083698C" w:rsidRPr="00C0592A">
          <w:rPr>
            <w:sz w:val="24"/>
          </w:rPr>
          <w:fldChar w:fldCharType="separate"/>
        </w:r>
        <w:r w:rsidR="0084201F">
          <w:rPr>
            <w:noProof/>
          </w:rPr>
          <w:t>4</w:t>
        </w:r>
        <w:r w:rsidR="0083698C" w:rsidRPr="00C0592A">
          <w:rPr>
            <w:sz w:val="24"/>
          </w:rPr>
          <w:fldChar w:fldCharType="end"/>
        </w:r>
        <w:r w:rsidR="0083698C" w:rsidRPr="00C0592A">
          <w:t xml:space="preserve"> of </w:t>
        </w:r>
        <w:fldSimple w:instr=" NUMPAGES  ">
          <w:r w:rsidR="0084201F">
            <w:rPr>
              <w:noProof/>
            </w:rPr>
            <w:t>4</w:t>
          </w:r>
        </w:fldSimple>
      </w:sdtContent>
    </w:sdt>
  </w:p>
  <w:p w:rsidR="00662373" w:rsidRDefault="00662373" w:rsidP="00D118F6">
    <w:pPr>
      <w:spacing w:after="0" w:line="240" w:lineRule="auto"/>
    </w:pPr>
  </w:p>
  <w:p w:rsidR="00662373" w:rsidRDefault="00662373" w:rsidP="00D118F6">
    <w:pPr>
      <w:spacing w:after="0" w:line="240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C87" w:rsidRPr="00E70653" w:rsidRDefault="002C1C87" w:rsidP="00A76DB3">
    <w:pPr>
      <w:pStyle w:val="Header"/>
      <w:spacing w:line="240" w:lineRule="auto"/>
      <w:jc w:val="center"/>
      <w:rPr>
        <w:rStyle w:val="CP3Char"/>
      </w:rPr>
    </w:pPr>
    <w:r>
      <w:rPr>
        <w:noProof/>
        <w:lang w:eastAsia="en-GB"/>
      </w:rPr>
      <w:drawing>
        <wp:inline distT="0" distB="0" distL="0" distR="0" wp14:anchorId="3063FC22" wp14:editId="06CC6BE9">
          <wp:extent cx="2638425" cy="1076325"/>
          <wp:effectExtent l="0" t="0" r="9525" b="9525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atstutorcplogo_2cm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38425" cy="1076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1C87" w:rsidRPr="00C0592A" w:rsidRDefault="002C1C87" w:rsidP="00A76DB3">
    <w:pPr>
      <w:pStyle w:val="CP1"/>
    </w:pPr>
    <w:proofErr w:type="gramStart"/>
    <w:r w:rsidRPr="00C0592A">
      <w:t>community</w:t>
    </w:r>
    <w:proofErr w:type="gramEnd"/>
    <w:r w:rsidRPr="00C0592A">
      <w:t xml:space="preserve"> project</w:t>
    </w:r>
  </w:p>
  <w:p w:rsidR="002C1C87" w:rsidRPr="00C0592A" w:rsidRDefault="002C1C87" w:rsidP="00A76DB3">
    <w:pPr>
      <w:pStyle w:val="CP2"/>
    </w:pPr>
    <w:proofErr w:type="gramStart"/>
    <w:r w:rsidRPr="00C0592A">
      <w:t>encouraging</w:t>
    </w:r>
    <w:proofErr w:type="gramEnd"/>
    <w:r w:rsidRPr="00C0592A">
      <w:t xml:space="preserve"> academics to share statistics support resources</w:t>
    </w:r>
  </w:p>
  <w:p w:rsidR="002C1C87" w:rsidRPr="00C0592A" w:rsidRDefault="002C1C87" w:rsidP="00A76DB3">
    <w:pPr>
      <w:pStyle w:val="CP3"/>
    </w:pPr>
    <w:r w:rsidRPr="00C0592A">
      <w:t xml:space="preserve">All </w:t>
    </w:r>
    <w:proofErr w:type="spellStart"/>
    <w:r w:rsidRPr="00C0592A">
      <w:t>stcp</w:t>
    </w:r>
    <w:proofErr w:type="spellEnd"/>
    <w:r w:rsidRPr="00C0592A">
      <w:t xml:space="preserve"> resources are released under a Creative Commons licence</w:t>
    </w:r>
  </w:p>
  <w:p w:rsidR="002C1C87" w:rsidRPr="00C0592A" w:rsidRDefault="002C1C87" w:rsidP="00A76DB3">
    <w:pPr>
      <w:pStyle w:val="CP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5B3953"/>
    <w:multiLevelType w:val="hybridMultilevel"/>
    <w:tmpl w:val="63784B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25B6B"/>
    <w:multiLevelType w:val="hybridMultilevel"/>
    <w:tmpl w:val="C1DEFF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9B46F2"/>
    <w:multiLevelType w:val="hybridMultilevel"/>
    <w:tmpl w:val="051EA0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7F18F3"/>
    <w:multiLevelType w:val="hybridMultilevel"/>
    <w:tmpl w:val="BDC007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0F0785"/>
    <w:multiLevelType w:val="hybridMultilevel"/>
    <w:tmpl w:val="2FBC96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41766C"/>
    <w:multiLevelType w:val="hybridMultilevel"/>
    <w:tmpl w:val="B84491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AC542B"/>
    <w:multiLevelType w:val="hybridMultilevel"/>
    <w:tmpl w:val="D206C9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776FC4"/>
    <w:multiLevelType w:val="hybridMultilevel"/>
    <w:tmpl w:val="04D26614"/>
    <w:lvl w:ilvl="0" w:tplc="97CE2E74">
      <w:start w:val="1"/>
      <w:numFmt w:val="bullet"/>
      <w:pStyle w:val="ListParagraph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FE66D90"/>
    <w:multiLevelType w:val="hybridMultilevel"/>
    <w:tmpl w:val="05D4FDC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1E4052"/>
    <w:multiLevelType w:val="hybridMultilevel"/>
    <w:tmpl w:val="F07C8D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FCB7C5A"/>
    <w:multiLevelType w:val="hybridMultilevel"/>
    <w:tmpl w:val="A00EB9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6"/>
  </w:num>
  <w:num w:numId="4">
    <w:abstractNumId w:val="5"/>
  </w:num>
  <w:num w:numId="5">
    <w:abstractNumId w:val="3"/>
  </w:num>
  <w:num w:numId="6">
    <w:abstractNumId w:val="8"/>
  </w:num>
  <w:num w:numId="7">
    <w:abstractNumId w:val="2"/>
  </w:num>
  <w:num w:numId="8">
    <w:abstractNumId w:val="1"/>
  </w:num>
  <w:num w:numId="9">
    <w:abstractNumId w:val="4"/>
  </w:num>
  <w:num w:numId="10">
    <w:abstractNumId w:val="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C87"/>
    <w:rsid w:val="000734E8"/>
    <w:rsid w:val="000C3847"/>
    <w:rsid w:val="000F3698"/>
    <w:rsid w:val="00107297"/>
    <w:rsid w:val="001A5027"/>
    <w:rsid w:val="001C5573"/>
    <w:rsid w:val="00263B13"/>
    <w:rsid w:val="00280C4F"/>
    <w:rsid w:val="002C1C87"/>
    <w:rsid w:val="00357660"/>
    <w:rsid w:val="003E4ECE"/>
    <w:rsid w:val="00477CBE"/>
    <w:rsid w:val="004B0D36"/>
    <w:rsid w:val="005F6B81"/>
    <w:rsid w:val="00606B7F"/>
    <w:rsid w:val="00662373"/>
    <w:rsid w:val="006F73A0"/>
    <w:rsid w:val="007252BC"/>
    <w:rsid w:val="0079077D"/>
    <w:rsid w:val="00814897"/>
    <w:rsid w:val="0083698C"/>
    <w:rsid w:val="0084201F"/>
    <w:rsid w:val="00862310"/>
    <w:rsid w:val="008C2139"/>
    <w:rsid w:val="00A04B12"/>
    <w:rsid w:val="00A058A5"/>
    <w:rsid w:val="00A76DB3"/>
    <w:rsid w:val="00A82EB4"/>
    <w:rsid w:val="00AC6F0B"/>
    <w:rsid w:val="00BA65F1"/>
    <w:rsid w:val="00C0592A"/>
    <w:rsid w:val="00C640F4"/>
    <w:rsid w:val="00C66FC5"/>
    <w:rsid w:val="00CA4704"/>
    <w:rsid w:val="00D118F6"/>
    <w:rsid w:val="00D93A12"/>
    <w:rsid w:val="00D96971"/>
    <w:rsid w:val="00DA34F3"/>
    <w:rsid w:val="00DC3D2C"/>
    <w:rsid w:val="00E059B8"/>
    <w:rsid w:val="00E12B52"/>
    <w:rsid w:val="00E70653"/>
    <w:rsid w:val="00EB6CB3"/>
    <w:rsid w:val="00EC2C13"/>
    <w:rsid w:val="00F21430"/>
    <w:rsid w:val="00F77523"/>
    <w:rsid w:val="00FC3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2511845-2E49-4C94-B56B-45FED79BF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6DB3"/>
    <w:pPr>
      <w:spacing w:after="120" w:line="264" w:lineRule="auto"/>
    </w:pPr>
    <w:rPr>
      <w:rFonts w:ascii="Arial" w:hAnsi="Arial" w:cs="Arial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1C87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C1C87"/>
  </w:style>
  <w:style w:type="paragraph" w:styleId="Footer">
    <w:name w:val="footer"/>
    <w:basedOn w:val="Normal"/>
    <w:link w:val="FooterChar"/>
    <w:unhideWhenUsed/>
    <w:rsid w:val="002C1C87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C1C87"/>
  </w:style>
  <w:style w:type="paragraph" w:styleId="BalloonText">
    <w:name w:val="Balloon Text"/>
    <w:basedOn w:val="Normal"/>
    <w:link w:val="BalloonTextChar"/>
    <w:uiPriority w:val="99"/>
    <w:semiHidden/>
    <w:unhideWhenUsed/>
    <w:rsid w:val="002C1C8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1C87"/>
    <w:rPr>
      <w:rFonts w:ascii="Tahoma" w:hAnsi="Tahoma" w:cs="Tahoma"/>
      <w:sz w:val="16"/>
      <w:szCs w:val="16"/>
    </w:rPr>
  </w:style>
  <w:style w:type="paragraph" w:customStyle="1" w:styleId="CP1">
    <w:name w:val="CP1"/>
    <w:basedOn w:val="Normal"/>
    <w:link w:val="CP1Char"/>
    <w:qFormat/>
    <w:rsid w:val="00E70653"/>
    <w:pPr>
      <w:spacing w:after="0"/>
      <w:jc w:val="center"/>
    </w:pPr>
    <w:rPr>
      <w:rFonts w:ascii="Gill Sans MT" w:hAnsi="Gill Sans MT"/>
      <w:color w:val="000000" w:themeColor="text1"/>
      <w:sz w:val="60"/>
      <w:szCs w:val="60"/>
    </w:rPr>
  </w:style>
  <w:style w:type="paragraph" w:customStyle="1" w:styleId="CP2">
    <w:name w:val="CP2"/>
    <w:basedOn w:val="Normal"/>
    <w:link w:val="CP2Char"/>
    <w:qFormat/>
    <w:rsid w:val="00E70653"/>
    <w:pPr>
      <w:spacing w:after="0"/>
      <w:jc w:val="center"/>
    </w:pPr>
    <w:rPr>
      <w:rFonts w:ascii="Gill Sans MT" w:hAnsi="Gill Sans MT"/>
      <w:color w:val="000000" w:themeColor="text1"/>
      <w:sz w:val="28"/>
      <w:szCs w:val="28"/>
    </w:rPr>
  </w:style>
  <w:style w:type="character" w:customStyle="1" w:styleId="CP1Char">
    <w:name w:val="CP1 Char"/>
    <w:basedOn w:val="DefaultParagraphFont"/>
    <w:link w:val="CP1"/>
    <w:rsid w:val="00E70653"/>
    <w:rPr>
      <w:rFonts w:ascii="Gill Sans MT" w:hAnsi="Gill Sans MT"/>
      <w:color w:val="000000" w:themeColor="text1"/>
      <w:sz w:val="60"/>
      <w:szCs w:val="60"/>
    </w:rPr>
  </w:style>
  <w:style w:type="paragraph" w:customStyle="1" w:styleId="CP3">
    <w:name w:val="CP3"/>
    <w:basedOn w:val="Normal"/>
    <w:link w:val="CP3Char"/>
    <w:qFormat/>
    <w:rsid w:val="00E70653"/>
    <w:pPr>
      <w:spacing w:after="0"/>
      <w:jc w:val="center"/>
    </w:pPr>
    <w:rPr>
      <w:rFonts w:ascii="Gill Sans MT" w:hAnsi="Gill Sans MT"/>
      <w:color w:val="000000" w:themeColor="text1"/>
      <w:sz w:val="20"/>
      <w:szCs w:val="20"/>
    </w:rPr>
  </w:style>
  <w:style w:type="character" w:customStyle="1" w:styleId="CP2Char">
    <w:name w:val="CP2 Char"/>
    <w:basedOn w:val="DefaultParagraphFont"/>
    <w:link w:val="CP2"/>
    <w:rsid w:val="00E70653"/>
    <w:rPr>
      <w:rFonts w:ascii="Gill Sans MT" w:hAnsi="Gill Sans MT"/>
      <w:color w:val="000000" w:themeColor="text1"/>
      <w:sz w:val="28"/>
      <w:szCs w:val="28"/>
    </w:rPr>
  </w:style>
  <w:style w:type="paragraph" w:customStyle="1" w:styleId="Title2">
    <w:name w:val="Title2"/>
    <w:basedOn w:val="Normal"/>
    <w:link w:val="Title2Char"/>
    <w:qFormat/>
    <w:rsid w:val="00E70653"/>
    <w:rPr>
      <w:b/>
      <w:bCs/>
      <w:sz w:val="32"/>
      <w:szCs w:val="28"/>
    </w:rPr>
  </w:style>
  <w:style w:type="character" w:customStyle="1" w:styleId="CP3Char">
    <w:name w:val="CP3 Char"/>
    <w:basedOn w:val="DefaultParagraphFont"/>
    <w:link w:val="CP3"/>
    <w:rsid w:val="00E70653"/>
    <w:rPr>
      <w:rFonts w:ascii="Gill Sans MT" w:hAnsi="Gill Sans MT"/>
      <w:color w:val="000000" w:themeColor="text1"/>
      <w:sz w:val="20"/>
      <w:szCs w:val="20"/>
    </w:rPr>
  </w:style>
  <w:style w:type="paragraph" w:customStyle="1" w:styleId="Heading1">
    <w:name w:val="Heading1"/>
    <w:basedOn w:val="Normal"/>
    <w:link w:val="Heading1Char"/>
    <w:qFormat/>
    <w:rsid w:val="00E70653"/>
    <w:pPr>
      <w:spacing w:before="240"/>
    </w:pPr>
    <w:rPr>
      <w:b/>
      <w:bCs/>
      <w:sz w:val="28"/>
    </w:rPr>
  </w:style>
  <w:style w:type="character" w:customStyle="1" w:styleId="Title2Char">
    <w:name w:val="Title2 Char"/>
    <w:basedOn w:val="DefaultParagraphFont"/>
    <w:link w:val="Title2"/>
    <w:rsid w:val="00E70653"/>
    <w:rPr>
      <w:rFonts w:ascii="Arial" w:hAnsi="Arial" w:cs="Arial"/>
      <w:b/>
      <w:bCs/>
      <w:sz w:val="32"/>
      <w:szCs w:val="28"/>
    </w:rPr>
  </w:style>
  <w:style w:type="paragraph" w:customStyle="1" w:styleId="Heading2">
    <w:name w:val="Heading2"/>
    <w:basedOn w:val="Normal"/>
    <w:link w:val="Heading2Char"/>
    <w:qFormat/>
    <w:rsid w:val="00E70653"/>
    <w:rPr>
      <w:b/>
      <w:bCs/>
      <w:sz w:val="24"/>
    </w:rPr>
  </w:style>
  <w:style w:type="character" w:customStyle="1" w:styleId="Heading1Char">
    <w:name w:val="Heading1 Char"/>
    <w:basedOn w:val="DefaultParagraphFont"/>
    <w:link w:val="Heading1"/>
    <w:rsid w:val="00E70653"/>
    <w:rPr>
      <w:rFonts w:ascii="Arial" w:hAnsi="Arial" w:cs="Arial"/>
      <w:b/>
      <w:bCs/>
      <w:sz w:val="28"/>
      <w:szCs w:val="24"/>
    </w:rPr>
  </w:style>
  <w:style w:type="paragraph" w:customStyle="1" w:styleId="Ref">
    <w:name w:val="Ref"/>
    <w:basedOn w:val="Normal"/>
    <w:link w:val="RefChar"/>
    <w:qFormat/>
    <w:rsid w:val="00E70653"/>
    <w:pPr>
      <w:jc w:val="right"/>
    </w:pPr>
    <w:rPr>
      <w:rFonts w:ascii="Gill Sans MT" w:hAnsi="Gill Sans MT"/>
      <w:bCs/>
      <w:noProof/>
      <w:szCs w:val="28"/>
      <w:lang w:eastAsia="en-GB"/>
    </w:rPr>
  </w:style>
  <w:style w:type="character" w:customStyle="1" w:styleId="Heading2Char">
    <w:name w:val="Heading2 Char"/>
    <w:basedOn w:val="DefaultParagraphFont"/>
    <w:link w:val="Heading2"/>
    <w:rsid w:val="00E70653"/>
    <w:rPr>
      <w:rFonts w:ascii="Arial" w:hAnsi="Arial" w:cs="Arial"/>
      <w:b/>
      <w:bCs/>
      <w:sz w:val="24"/>
      <w:szCs w:val="24"/>
    </w:rPr>
  </w:style>
  <w:style w:type="paragraph" w:customStyle="1" w:styleId="Heading3">
    <w:name w:val="Heading3"/>
    <w:basedOn w:val="Heading2"/>
    <w:link w:val="Heading3Char"/>
    <w:qFormat/>
    <w:rsid w:val="00E70653"/>
    <w:rPr>
      <w:sz w:val="22"/>
    </w:rPr>
  </w:style>
  <w:style w:type="character" w:customStyle="1" w:styleId="RefChar">
    <w:name w:val="Ref Char"/>
    <w:basedOn w:val="DefaultParagraphFont"/>
    <w:link w:val="Ref"/>
    <w:rsid w:val="00E70653"/>
    <w:rPr>
      <w:rFonts w:ascii="Gill Sans MT" w:hAnsi="Gill Sans MT" w:cs="Arial"/>
      <w:bCs/>
      <w:noProof/>
      <w:szCs w:val="28"/>
      <w:lang w:eastAsia="en-GB"/>
    </w:rPr>
  </w:style>
  <w:style w:type="character" w:customStyle="1" w:styleId="Heading3Char">
    <w:name w:val="Heading3 Char"/>
    <w:basedOn w:val="Heading2Char"/>
    <w:link w:val="Heading3"/>
    <w:rsid w:val="00E70653"/>
    <w:rPr>
      <w:rFonts w:ascii="Arial" w:hAnsi="Arial" w:cs="Arial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EC2C13"/>
    <w:pPr>
      <w:numPr>
        <w:numId w:val="1"/>
      </w:numPr>
      <w:ind w:left="709" w:hanging="283"/>
      <w:contextualSpacing/>
    </w:pPr>
  </w:style>
  <w:style w:type="table" w:styleId="TableGrid">
    <w:name w:val="Table Grid"/>
    <w:basedOn w:val="TableNormal"/>
    <w:uiPriority w:val="59"/>
    <w:rsid w:val="001072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107297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107297"/>
    <w:rPr>
      <w:rFonts w:ascii="Times New Roman" w:eastAsia="Times New Roman" w:hAnsi="Times New Roman" w:cs="Times New Roman"/>
      <w:b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998</Words>
  <Characters>5694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Loughborough University</Company>
  <LinksUpToDate>false</LinksUpToDate>
  <CharactersWithSpaces>6679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Janette Matthews;Peter C Samuels</dc:creator>
  <cp:lastModifiedBy>Peter Samuels</cp:lastModifiedBy>
  <cp:revision>6</cp:revision>
  <cp:lastPrinted>2016-04-13T10:31:00Z</cp:lastPrinted>
  <dcterms:created xsi:type="dcterms:W3CDTF">2016-04-13T10:29:00Z</dcterms:created>
  <dcterms:modified xsi:type="dcterms:W3CDTF">2016-04-13T10:31:00Z</dcterms:modified>
</cp:coreProperties>
</file>